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1E" w:rsidRDefault="00C4711E" w:rsidP="00DA4CC5">
      <w:pPr>
        <w:jc w:val="center"/>
        <w:rPr>
          <w:b/>
          <w:sz w:val="32"/>
          <w:szCs w:val="32"/>
        </w:rPr>
      </w:pPr>
    </w:p>
    <w:p w:rsidR="00C4711E" w:rsidRDefault="00C4711E" w:rsidP="00DA4CC5">
      <w:pPr>
        <w:jc w:val="center"/>
        <w:rPr>
          <w:b/>
          <w:sz w:val="32"/>
          <w:szCs w:val="32"/>
        </w:rPr>
      </w:pPr>
    </w:p>
    <w:p w:rsidR="00C4711E" w:rsidRDefault="00C4711E" w:rsidP="00DA4CC5">
      <w:pPr>
        <w:jc w:val="center"/>
        <w:rPr>
          <w:b/>
          <w:sz w:val="32"/>
          <w:szCs w:val="32"/>
        </w:rPr>
      </w:pPr>
    </w:p>
    <w:p w:rsidR="00C4711E" w:rsidRDefault="00C4711E" w:rsidP="00DA4CC5">
      <w:pPr>
        <w:jc w:val="center"/>
        <w:rPr>
          <w:b/>
          <w:sz w:val="32"/>
          <w:szCs w:val="32"/>
        </w:rPr>
      </w:pPr>
    </w:p>
    <w:p w:rsidR="00C4711E" w:rsidRDefault="00C4711E" w:rsidP="00DA4CC5">
      <w:pPr>
        <w:jc w:val="center"/>
        <w:rPr>
          <w:b/>
          <w:sz w:val="32"/>
          <w:szCs w:val="32"/>
        </w:rPr>
      </w:pPr>
    </w:p>
    <w:p w:rsidR="00C4711E" w:rsidRDefault="00C4711E" w:rsidP="00DA4CC5">
      <w:pPr>
        <w:jc w:val="center"/>
        <w:rPr>
          <w:b/>
          <w:sz w:val="32"/>
          <w:szCs w:val="32"/>
        </w:rPr>
      </w:pPr>
    </w:p>
    <w:p w:rsidR="00C4711E" w:rsidRDefault="00C4711E" w:rsidP="00DA4CC5">
      <w:pPr>
        <w:jc w:val="center"/>
        <w:rPr>
          <w:b/>
          <w:sz w:val="32"/>
          <w:szCs w:val="32"/>
        </w:rPr>
      </w:pPr>
    </w:p>
    <w:p w:rsidR="00C4711E" w:rsidRDefault="00C4711E" w:rsidP="00DA4CC5">
      <w:pPr>
        <w:jc w:val="center"/>
        <w:rPr>
          <w:b/>
          <w:sz w:val="32"/>
          <w:szCs w:val="32"/>
        </w:rPr>
      </w:pPr>
      <w:r>
        <w:rPr>
          <w:rStyle w:val="Refdecomentario"/>
        </w:rPr>
        <w:commentReference w:id="0"/>
      </w:r>
    </w:p>
    <w:p w:rsidR="00C4711E" w:rsidRDefault="00C4711E" w:rsidP="00DA4CC5">
      <w:pPr>
        <w:jc w:val="center"/>
        <w:rPr>
          <w:b/>
          <w:sz w:val="32"/>
          <w:szCs w:val="32"/>
        </w:rPr>
      </w:pPr>
    </w:p>
    <w:p w:rsidR="00DA4CC5" w:rsidRPr="00586DBF" w:rsidRDefault="00DA4CC5" w:rsidP="00DA4CC5">
      <w:pPr>
        <w:jc w:val="center"/>
        <w:rPr>
          <w:b/>
          <w:sz w:val="32"/>
          <w:szCs w:val="32"/>
        </w:rPr>
      </w:pPr>
      <w:commentRangeStart w:id="2"/>
      <w:r w:rsidRPr="00586DBF">
        <w:rPr>
          <w:b/>
          <w:sz w:val="32"/>
          <w:szCs w:val="32"/>
        </w:rPr>
        <w:t xml:space="preserve">La eficiencia relativa del sector real versus la del sector financiero de la economía colombiana </w:t>
      </w:r>
      <w:commentRangeEnd w:id="2"/>
      <w:r w:rsidR="00C4711E">
        <w:rPr>
          <w:rStyle w:val="Refdecomentario"/>
        </w:rPr>
        <w:commentReference w:id="2"/>
      </w:r>
    </w:p>
    <w:p w:rsidR="00990429" w:rsidRPr="00586DBF" w:rsidRDefault="00990429" w:rsidP="004C7F7A">
      <w:pPr>
        <w:jc w:val="center"/>
        <w:rPr>
          <w:b/>
          <w:sz w:val="32"/>
          <w:szCs w:val="32"/>
        </w:rPr>
      </w:pPr>
    </w:p>
    <w:p w:rsidR="00990429" w:rsidRPr="00586DBF" w:rsidRDefault="00DA4CC5" w:rsidP="004C7F7A">
      <w:pPr>
        <w:jc w:val="center"/>
        <w:rPr>
          <w:i/>
          <w:sz w:val="32"/>
          <w:szCs w:val="32"/>
          <w:lang w:val="en-US"/>
        </w:rPr>
      </w:pPr>
      <w:commentRangeStart w:id="3"/>
      <w:r w:rsidRPr="00586DBF">
        <w:rPr>
          <w:i/>
          <w:sz w:val="32"/>
          <w:szCs w:val="32"/>
          <w:lang w:val="en-US"/>
        </w:rPr>
        <w:t>T</w:t>
      </w:r>
      <w:r w:rsidR="00990429" w:rsidRPr="00586DBF">
        <w:rPr>
          <w:i/>
          <w:sz w:val="32"/>
          <w:szCs w:val="32"/>
          <w:lang w:val="en-US"/>
        </w:rPr>
        <w:t xml:space="preserve">he </w:t>
      </w:r>
      <w:r w:rsidRPr="00586DBF">
        <w:rPr>
          <w:i/>
          <w:sz w:val="32"/>
          <w:szCs w:val="32"/>
          <w:lang w:val="en-US"/>
        </w:rPr>
        <w:t xml:space="preserve">Relative Efficiency of the Real Sector versus the Financial Sector </w:t>
      </w:r>
      <w:r w:rsidR="00990429" w:rsidRPr="00586DBF">
        <w:rPr>
          <w:i/>
          <w:sz w:val="32"/>
          <w:szCs w:val="32"/>
          <w:lang w:val="en-US"/>
        </w:rPr>
        <w:t xml:space="preserve">of the Colombian </w:t>
      </w:r>
      <w:r w:rsidRPr="00586DBF">
        <w:rPr>
          <w:i/>
          <w:sz w:val="32"/>
          <w:szCs w:val="32"/>
          <w:lang w:val="en-US"/>
        </w:rPr>
        <w:t>E</w:t>
      </w:r>
      <w:r w:rsidR="00990429" w:rsidRPr="00586DBF">
        <w:rPr>
          <w:i/>
          <w:sz w:val="32"/>
          <w:szCs w:val="32"/>
          <w:lang w:val="en-US"/>
        </w:rPr>
        <w:t xml:space="preserve">conomy </w:t>
      </w:r>
    </w:p>
    <w:p w:rsidR="00C77499" w:rsidRPr="00586DBF" w:rsidRDefault="00C77499" w:rsidP="004C7F7A">
      <w:pPr>
        <w:jc w:val="center"/>
        <w:rPr>
          <w:b/>
          <w:sz w:val="32"/>
          <w:szCs w:val="32"/>
          <w:lang w:val="en-US"/>
        </w:rPr>
      </w:pPr>
    </w:p>
    <w:p w:rsidR="00BB67A7" w:rsidRPr="00586DBF" w:rsidRDefault="00DA4CC5" w:rsidP="002871D9">
      <w:pPr>
        <w:jc w:val="center"/>
        <w:rPr>
          <w:i/>
          <w:sz w:val="32"/>
          <w:szCs w:val="32"/>
          <w:lang w:val="pt-PT"/>
        </w:rPr>
      </w:pPr>
      <w:r w:rsidRPr="00586DBF">
        <w:rPr>
          <w:i/>
          <w:sz w:val="32"/>
          <w:szCs w:val="32"/>
          <w:lang w:val="pt-PT"/>
        </w:rPr>
        <w:t>A eficiência relativa do sector real vs. o setor financeiro da economia colombiana</w:t>
      </w:r>
      <w:commentRangeEnd w:id="3"/>
      <w:r w:rsidR="00586DBF">
        <w:rPr>
          <w:rStyle w:val="Refdecomentario"/>
        </w:rPr>
        <w:commentReference w:id="3"/>
      </w:r>
    </w:p>
    <w:p w:rsidR="00CA6D94" w:rsidRPr="002871D9" w:rsidRDefault="002871D9" w:rsidP="002871D9">
      <w:pPr>
        <w:rPr>
          <w:rFonts w:eastAsia="Times New Roman"/>
          <w:b/>
          <w:lang w:val="pt-BR"/>
        </w:rPr>
      </w:pPr>
      <w:r>
        <w:rPr>
          <w:rStyle w:val="Refdecomentario"/>
        </w:rPr>
        <w:commentReference w:id="4"/>
      </w:r>
    </w:p>
    <w:p w:rsidR="00CA6D94" w:rsidRPr="00CA6D94" w:rsidRDefault="00CA6D94" w:rsidP="00265E6C">
      <w:pPr>
        <w:rPr>
          <w:sz w:val="18"/>
          <w:lang w:val="pt-BR"/>
        </w:rPr>
      </w:pPr>
    </w:p>
    <w:p w:rsidR="00CA6D94" w:rsidRPr="00CA6D94" w:rsidRDefault="00CA6D94" w:rsidP="00265E6C">
      <w:pPr>
        <w:rPr>
          <w:sz w:val="18"/>
          <w:lang w:val="pt-BR"/>
        </w:rPr>
      </w:pPr>
    </w:p>
    <w:p w:rsidR="00C77499" w:rsidRPr="00CA6D94" w:rsidRDefault="00EB7E14" w:rsidP="00265E6C">
      <w:pPr>
        <w:rPr>
          <w:b/>
        </w:rPr>
      </w:pPr>
      <w:commentRangeStart w:id="5"/>
      <w:r w:rsidRPr="00CA6D94">
        <w:rPr>
          <w:b/>
        </w:rPr>
        <w:t>Resumen</w:t>
      </w:r>
      <w:commentRangeEnd w:id="5"/>
      <w:r w:rsidR="002871D9">
        <w:rPr>
          <w:rStyle w:val="Refdecomentario"/>
        </w:rPr>
        <w:commentReference w:id="5"/>
      </w:r>
    </w:p>
    <w:p w:rsidR="005F072D" w:rsidRPr="00CA6D94" w:rsidRDefault="00265E6C" w:rsidP="00265E6C">
      <w:pPr>
        <w:rPr>
          <w:b/>
        </w:rPr>
      </w:pPr>
      <w:r w:rsidRPr="00CA6D94">
        <w:rPr>
          <w:b/>
        </w:rPr>
        <w:t xml:space="preserve"> </w:t>
      </w:r>
    </w:p>
    <w:p w:rsidR="00A564B1" w:rsidRPr="00CA6D94" w:rsidRDefault="00A564B1" w:rsidP="00BA5DCF">
      <w:pPr>
        <w:jc w:val="both"/>
      </w:pPr>
      <w:r w:rsidRPr="00CA6D94">
        <w:t xml:space="preserve">El objetivo de esta investigación es comparar las empresas del sector real de la economía y las entidades del sector financiero colombiano para el año 2014, en </w:t>
      </w:r>
      <w:r w:rsidR="00990429" w:rsidRPr="00CA6D94">
        <w:t>términos de eficiencia relativa,</w:t>
      </w:r>
      <w:r w:rsidRPr="00CA6D94">
        <w:t xml:space="preserve"> mediante la aplicación de la metodología </w:t>
      </w:r>
      <w:commentRangeStart w:id="6"/>
      <w:r w:rsidRPr="00CA6D94">
        <w:t xml:space="preserve">Data </w:t>
      </w:r>
      <w:proofErr w:type="spellStart"/>
      <w:r w:rsidRPr="00CA6D94">
        <w:t>Envelopment</w:t>
      </w:r>
      <w:proofErr w:type="spellEnd"/>
      <w:r w:rsidRPr="00CA6D94">
        <w:t xml:space="preserve"> </w:t>
      </w:r>
      <w:proofErr w:type="spellStart"/>
      <w:r w:rsidRPr="00CA6D94">
        <w:t>Analysis</w:t>
      </w:r>
      <w:proofErr w:type="spellEnd"/>
      <w:r w:rsidRPr="00CA6D94">
        <w:t xml:space="preserve"> (DEA)</w:t>
      </w:r>
      <w:commentRangeEnd w:id="6"/>
      <w:r w:rsidR="009E54BA">
        <w:rPr>
          <w:rStyle w:val="Refdecomentario"/>
        </w:rPr>
        <w:commentReference w:id="6"/>
      </w:r>
      <w:r w:rsidRPr="00CA6D94">
        <w:t xml:space="preserve">. Para un país como Colombia, perteneciente a las economías emergentes, es importante </w:t>
      </w:r>
      <w:r w:rsidR="00990429" w:rsidRPr="00CA6D94">
        <w:t>la realización de</w:t>
      </w:r>
      <w:r w:rsidRPr="00CA6D94">
        <w:t xml:space="preserve"> este </w:t>
      </w:r>
      <w:r w:rsidR="00990429" w:rsidRPr="00CA6D94">
        <w:t>estudio para determinar hasta dó</w:t>
      </w:r>
      <w:r w:rsidRPr="00CA6D94">
        <w:t>nde estos dos sectore</w:t>
      </w:r>
      <w:r w:rsidR="00990429" w:rsidRPr="00CA6D94">
        <w:t>s son eficientes o ineficientes,</w:t>
      </w:r>
      <w:r w:rsidRPr="00CA6D94">
        <w:t xml:space="preserve"> dada la importancia que tienen en la generación de desarrollo y en la disminución de las desigualdades sociales. Se toma</w:t>
      </w:r>
      <w:r w:rsidR="00990429" w:rsidRPr="00CA6D94">
        <w:t>n</w:t>
      </w:r>
      <w:r w:rsidRPr="00CA6D94">
        <w:t xml:space="preserve"> como fuente de información la Superintendencia de Sociedades y la Superintendencia Financiera. Se analizaron 26.799 empresas del sector real y 254 </w:t>
      </w:r>
      <w:r w:rsidR="00990429" w:rsidRPr="00CA6D94">
        <w:t xml:space="preserve">entidades del sector financiero, lo que dio </w:t>
      </w:r>
      <w:r w:rsidRPr="00CA6D94">
        <w:t>como resultado mejores indicadores para el sector financiero y</w:t>
      </w:r>
      <w:r w:rsidR="00990429" w:rsidRPr="00CA6D94">
        <w:t>,</w:t>
      </w:r>
      <w:r w:rsidRPr="00CA6D94">
        <w:t xml:space="preserve"> dentro de este, </w:t>
      </w:r>
      <w:r w:rsidR="00990429" w:rsidRPr="00CA6D94">
        <w:t xml:space="preserve">se destacó </w:t>
      </w:r>
      <w:r w:rsidRPr="00CA6D94">
        <w:t xml:space="preserve">la </w:t>
      </w:r>
      <w:r w:rsidR="00990429" w:rsidRPr="00CA6D94">
        <w:t>industria aseguradora</w:t>
      </w:r>
      <w:r w:rsidRPr="00CA6D94">
        <w:t>. Sin embargo</w:t>
      </w:r>
      <w:r w:rsidR="00990429" w:rsidRPr="00CA6D94">
        <w:t>,</w:t>
      </w:r>
      <w:r w:rsidRPr="00CA6D94">
        <w:t xml:space="preserve"> es necesario que estos dos sectores mejoren su desempeño</w:t>
      </w:r>
      <w:r w:rsidR="00990429" w:rsidRPr="00CA6D94">
        <w:t>,</w:t>
      </w:r>
      <w:r w:rsidRPr="00CA6D94">
        <w:t xml:space="preserve"> ya que solo el 2,6</w:t>
      </w:r>
      <w:r w:rsidR="00990429" w:rsidRPr="00CA6D94">
        <w:t xml:space="preserve"> </w:t>
      </w:r>
      <w:r w:rsidRPr="00CA6D94">
        <w:t>% de las emp</w:t>
      </w:r>
      <w:r w:rsidR="00990429" w:rsidRPr="00CA6D94">
        <w:t>resas y entidades estudiadas es eficiente</w:t>
      </w:r>
      <w:r w:rsidRPr="00CA6D94">
        <w:t>.</w:t>
      </w:r>
    </w:p>
    <w:p w:rsidR="005F072D" w:rsidRPr="00CA6D94" w:rsidRDefault="005F072D" w:rsidP="00BA5DCF">
      <w:pPr>
        <w:jc w:val="both"/>
      </w:pPr>
    </w:p>
    <w:p w:rsidR="009664C7" w:rsidRPr="00CA6D94" w:rsidRDefault="009664C7" w:rsidP="00BA5DCF">
      <w:pPr>
        <w:jc w:val="both"/>
      </w:pPr>
      <w:commentRangeStart w:id="7"/>
      <w:r w:rsidRPr="00CA6D94">
        <w:rPr>
          <w:b/>
        </w:rPr>
        <w:t>Palabras clave</w:t>
      </w:r>
      <w:r w:rsidRPr="00CA6D94">
        <w:t xml:space="preserve">: </w:t>
      </w:r>
      <w:commentRangeEnd w:id="7"/>
      <w:r w:rsidR="002871D9">
        <w:rPr>
          <w:rStyle w:val="Refdecomentario"/>
        </w:rPr>
        <w:commentReference w:id="7"/>
      </w:r>
      <w:r w:rsidRPr="00CA6D94">
        <w:t xml:space="preserve">Data </w:t>
      </w:r>
      <w:proofErr w:type="spellStart"/>
      <w:r w:rsidRPr="00CA6D94">
        <w:t>Envelopment</w:t>
      </w:r>
      <w:proofErr w:type="spellEnd"/>
      <w:r w:rsidRPr="00CA6D94">
        <w:t xml:space="preserve"> </w:t>
      </w:r>
      <w:proofErr w:type="spellStart"/>
      <w:r w:rsidRPr="00CA6D94">
        <w:t>Analysis</w:t>
      </w:r>
      <w:proofErr w:type="spellEnd"/>
      <w:r w:rsidRPr="00CA6D94">
        <w:t xml:space="preserve"> (DEA), </w:t>
      </w:r>
      <w:r w:rsidR="0053233C" w:rsidRPr="00CA6D94">
        <w:t>eficiencia relativa, sector real, sector financiero.</w:t>
      </w:r>
    </w:p>
    <w:p w:rsidR="009664C7" w:rsidRPr="00CA6D94" w:rsidRDefault="009664C7" w:rsidP="00BA5DCF">
      <w:pPr>
        <w:jc w:val="both"/>
        <w:rPr>
          <w:b/>
        </w:rPr>
      </w:pPr>
    </w:p>
    <w:p w:rsidR="00A558A7" w:rsidRPr="00CA6D94" w:rsidRDefault="00A558A7" w:rsidP="00346623">
      <w:pPr>
        <w:jc w:val="both"/>
        <w:rPr>
          <w:lang w:val="es-CO"/>
        </w:rPr>
      </w:pPr>
      <w:commentRangeStart w:id="8"/>
      <w:r w:rsidRPr="00CA6D94">
        <w:rPr>
          <w:b/>
          <w:lang w:val="es-CO"/>
        </w:rPr>
        <w:t xml:space="preserve">Clasificación </w:t>
      </w:r>
      <w:r w:rsidR="004C7F7A" w:rsidRPr="00CA6D94">
        <w:rPr>
          <w:b/>
          <w:lang w:val="es-CO"/>
        </w:rPr>
        <w:t>JEL</w:t>
      </w:r>
      <w:r w:rsidRPr="00CA6D94">
        <w:rPr>
          <w:b/>
          <w:lang w:val="es-CO"/>
        </w:rPr>
        <w:t>:</w:t>
      </w:r>
      <w:commentRangeEnd w:id="8"/>
      <w:r w:rsidR="002871D9">
        <w:rPr>
          <w:rStyle w:val="Refdecomentario"/>
        </w:rPr>
        <w:commentReference w:id="8"/>
      </w:r>
      <w:r w:rsidRPr="00CA6D94">
        <w:rPr>
          <w:b/>
          <w:lang w:val="es-CO"/>
        </w:rPr>
        <w:t xml:space="preserve"> </w:t>
      </w:r>
      <w:r w:rsidR="00346623" w:rsidRPr="00CA6D94">
        <w:rPr>
          <w:lang w:val="es-CO"/>
        </w:rPr>
        <w:t>M11</w:t>
      </w:r>
      <w:r w:rsidR="00AF2C34" w:rsidRPr="00CA6D94">
        <w:rPr>
          <w:lang w:val="es-CO"/>
        </w:rPr>
        <w:t>, D24</w:t>
      </w:r>
      <w:r w:rsidR="00346623" w:rsidRPr="00CA6D94">
        <w:rPr>
          <w:lang w:val="es-CO"/>
        </w:rPr>
        <w:t>, G14, E01, C38, D57.</w:t>
      </w:r>
    </w:p>
    <w:p w:rsidR="00A558A7" w:rsidRPr="00CA6D94" w:rsidRDefault="00A558A7" w:rsidP="00BA5DCF">
      <w:pPr>
        <w:jc w:val="both"/>
        <w:rPr>
          <w:b/>
          <w:lang w:val="es-CO"/>
        </w:rPr>
        <w:sectPr w:rsidR="00A558A7" w:rsidRPr="00CA6D94" w:rsidSect="00586DBF">
          <w:footerReference w:type="default" r:id="rId10"/>
          <w:pgSz w:w="12240" w:h="15840"/>
          <w:pgMar w:top="1417" w:right="1467" w:bottom="1417" w:left="2268" w:header="708" w:footer="708" w:gutter="0"/>
          <w:cols w:space="708"/>
          <w:docGrid w:linePitch="360"/>
        </w:sectPr>
      </w:pPr>
    </w:p>
    <w:p w:rsidR="00A56C88" w:rsidRPr="00CA6D94" w:rsidRDefault="00A56C88" w:rsidP="00A558A7">
      <w:pPr>
        <w:jc w:val="both"/>
        <w:rPr>
          <w:b/>
        </w:rPr>
      </w:pPr>
    </w:p>
    <w:p w:rsidR="00A558A7" w:rsidRPr="00CA6D94" w:rsidRDefault="00A558A7" w:rsidP="00A558A7">
      <w:pPr>
        <w:jc w:val="both"/>
        <w:rPr>
          <w:b/>
          <w:lang w:val="en-US"/>
        </w:rPr>
      </w:pPr>
      <w:commentRangeStart w:id="9"/>
      <w:r w:rsidRPr="00CA6D94">
        <w:rPr>
          <w:b/>
          <w:lang w:val="en-US"/>
        </w:rPr>
        <w:lastRenderedPageBreak/>
        <w:t>Abstract</w:t>
      </w:r>
      <w:commentRangeEnd w:id="9"/>
      <w:r w:rsidR="003F222C">
        <w:rPr>
          <w:rStyle w:val="Refdecomentario"/>
        </w:rPr>
        <w:commentReference w:id="9"/>
      </w:r>
    </w:p>
    <w:p w:rsidR="00C77499" w:rsidRPr="00CA6D94" w:rsidRDefault="00C77499" w:rsidP="00A558A7">
      <w:pPr>
        <w:jc w:val="both"/>
        <w:rPr>
          <w:b/>
          <w:lang w:val="en-US"/>
        </w:rPr>
      </w:pPr>
    </w:p>
    <w:p w:rsidR="00A56C88" w:rsidRDefault="00C33D26" w:rsidP="009664C7">
      <w:pPr>
        <w:jc w:val="both"/>
        <w:rPr>
          <w:lang w:val="en-US"/>
        </w:rPr>
      </w:pPr>
      <w:r w:rsidRPr="00C33D26">
        <w:rPr>
          <w:lang w:val="en-US"/>
        </w:rPr>
        <w:t xml:space="preserve">The objective of this research is to compare the companies of the real sector of the economy and the entities of the Colombian financial sector for the year 2014, in terms of relative efficiency, through the application of the Data Envelopment Analysis (DEA) methodology. For a country like Colombia, belonging to the emerging economies, it is important to conduct this study to determine how far these two sectors are efficient or inefficient, given the importance they have in generating development and reducing social inequalities. We take as source of information the </w:t>
      </w:r>
      <w:proofErr w:type="spellStart"/>
      <w:r w:rsidRPr="00C33D26">
        <w:rPr>
          <w:lang w:val="en-US"/>
        </w:rPr>
        <w:t>Superintendencia</w:t>
      </w:r>
      <w:proofErr w:type="spellEnd"/>
      <w:r w:rsidRPr="00C33D26">
        <w:rPr>
          <w:lang w:val="en-US"/>
        </w:rPr>
        <w:t xml:space="preserve"> de </w:t>
      </w:r>
      <w:proofErr w:type="spellStart"/>
      <w:r w:rsidRPr="00C33D26">
        <w:rPr>
          <w:lang w:val="en-US"/>
        </w:rPr>
        <w:t>Sociedades</w:t>
      </w:r>
      <w:proofErr w:type="spellEnd"/>
      <w:r w:rsidRPr="00C33D26">
        <w:rPr>
          <w:lang w:val="en-US"/>
        </w:rPr>
        <w:t xml:space="preserve"> and the </w:t>
      </w:r>
      <w:proofErr w:type="spellStart"/>
      <w:r w:rsidRPr="00C33D26">
        <w:rPr>
          <w:lang w:val="en-US"/>
        </w:rPr>
        <w:t>Superintendencia</w:t>
      </w:r>
      <w:proofErr w:type="spellEnd"/>
      <w:r w:rsidRPr="00C33D26">
        <w:rPr>
          <w:lang w:val="en-US"/>
        </w:rPr>
        <w:t xml:space="preserve"> </w:t>
      </w:r>
      <w:proofErr w:type="spellStart"/>
      <w:r w:rsidRPr="00C33D26">
        <w:rPr>
          <w:lang w:val="en-US"/>
        </w:rPr>
        <w:t>Financiera</w:t>
      </w:r>
      <w:proofErr w:type="spellEnd"/>
      <w:r w:rsidRPr="00C33D26">
        <w:rPr>
          <w:lang w:val="en-US"/>
        </w:rPr>
        <w:t>. 26,799 companies in the real sector and financial sector entities 254 were analyzed resulting in better indicators for the financial sector and within this, the insurance industry stands. However it is necessary that these two sectors improve their performance to the extent that only 2.6% of studied companies and entities are efficient.</w:t>
      </w:r>
    </w:p>
    <w:p w:rsidR="00C33D26" w:rsidRPr="00CA6D94" w:rsidRDefault="00C33D26" w:rsidP="009664C7">
      <w:pPr>
        <w:jc w:val="both"/>
        <w:rPr>
          <w:b/>
          <w:lang w:val="en-US"/>
        </w:rPr>
      </w:pPr>
    </w:p>
    <w:p w:rsidR="00A558A7" w:rsidRPr="00CA6D94" w:rsidRDefault="00A558A7" w:rsidP="009664C7">
      <w:pPr>
        <w:jc w:val="both"/>
        <w:rPr>
          <w:b/>
          <w:lang w:val="en-US"/>
        </w:rPr>
      </w:pPr>
      <w:r w:rsidRPr="00CA6D94">
        <w:rPr>
          <w:b/>
          <w:lang w:val="en-US"/>
        </w:rPr>
        <w:t xml:space="preserve">Keywords: </w:t>
      </w:r>
      <w:r w:rsidRPr="00CA6D94">
        <w:rPr>
          <w:lang w:val="en-US"/>
        </w:rPr>
        <w:t xml:space="preserve">Data Envelopment Analysis (DEA), </w:t>
      </w:r>
      <w:r w:rsidR="0053233C" w:rsidRPr="00CA6D94">
        <w:rPr>
          <w:lang w:val="en-US"/>
        </w:rPr>
        <w:t>relative efficiency, real sector, financial sector.</w:t>
      </w:r>
    </w:p>
    <w:p w:rsidR="006072F3" w:rsidRPr="00CA6D94" w:rsidRDefault="006072F3" w:rsidP="00AE7024">
      <w:pPr>
        <w:jc w:val="both"/>
        <w:rPr>
          <w:b/>
          <w:lang w:val="en-US"/>
        </w:rPr>
      </w:pPr>
    </w:p>
    <w:p w:rsidR="00AE7024" w:rsidRPr="00CA6D94" w:rsidRDefault="00AE7024" w:rsidP="00AE7024">
      <w:pPr>
        <w:jc w:val="both"/>
        <w:rPr>
          <w:b/>
          <w:lang w:val="pt-BR"/>
        </w:rPr>
      </w:pPr>
      <w:r w:rsidRPr="00CA6D94">
        <w:rPr>
          <w:b/>
          <w:lang w:val="pt-BR"/>
        </w:rPr>
        <w:t>Resumo</w:t>
      </w:r>
    </w:p>
    <w:p w:rsidR="00C77499" w:rsidRPr="00CA6D94" w:rsidRDefault="00C77499" w:rsidP="00AE7024">
      <w:pPr>
        <w:jc w:val="both"/>
        <w:rPr>
          <w:b/>
          <w:lang w:val="pt-BR"/>
        </w:rPr>
      </w:pPr>
    </w:p>
    <w:p w:rsidR="00A56C88" w:rsidRPr="00CA6D94" w:rsidRDefault="00A56C88" w:rsidP="00AE7024">
      <w:pPr>
        <w:jc w:val="both"/>
        <w:rPr>
          <w:lang w:val="pt-BR"/>
        </w:rPr>
      </w:pPr>
      <w:r w:rsidRPr="00CA6D94">
        <w:rPr>
          <w:lang w:val="pt-BR"/>
        </w:rPr>
        <w:t xml:space="preserve">O objetivo desta pesquisa é comparar empresas do setor real da economia e as entidades do sector financeiro na Colômbia em 2014, em termos de eficiência relativa; através da aplicação da metodologia de Análise Envoltória de Dados (DEA). Para um país como a Colômbia, pertencente a economias emergentes, é </w:t>
      </w:r>
      <w:proofErr w:type="gramStart"/>
      <w:r w:rsidRPr="00CA6D94">
        <w:rPr>
          <w:lang w:val="pt-BR"/>
        </w:rPr>
        <w:t>importante para levar a cabo este estudo para determinar o quão longe esses dois setores</w:t>
      </w:r>
      <w:proofErr w:type="gramEnd"/>
      <w:r w:rsidRPr="00CA6D94">
        <w:rPr>
          <w:lang w:val="pt-BR"/>
        </w:rPr>
        <w:t xml:space="preserve"> são eficientes ou ineficientes; dada a importância na geração de desenvolvimento e redução das desigualdades sociais. É tomado como fonte de informação da </w:t>
      </w:r>
      <w:r w:rsidR="003F222C" w:rsidRPr="00CA6D94">
        <w:rPr>
          <w:lang w:val="pt-BR"/>
        </w:rPr>
        <w:t>Superintendência</w:t>
      </w:r>
      <w:r w:rsidRPr="00CA6D94">
        <w:rPr>
          <w:lang w:val="pt-BR"/>
        </w:rPr>
        <w:t xml:space="preserve"> de Sociedades e da </w:t>
      </w:r>
      <w:r w:rsidR="003F222C" w:rsidRPr="00CA6D94">
        <w:rPr>
          <w:lang w:val="pt-BR"/>
        </w:rPr>
        <w:t>Superintendência</w:t>
      </w:r>
      <w:r w:rsidRPr="00CA6D94">
        <w:rPr>
          <w:lang w:val="pt-BR"/>
        </w:rPr>
        <w:t xml:space="preserve"> Financeira. 26,799 empresas do setor real e entidades do sector financeiro 254 foram </w:t>
      </w:r>
      <w:r w:rsidR="003F222C" w:rsidRPr="00CA6D94">
        <w:rPr>
          <w:lang w:val="pt-BR"/>
        </w:rPr>
        <w:t>analisadas</w:t>
      </w:r>
      <w:r w:rsidRPr="00CA6D94">
        <w:rPr>
          <w:lang w:val="pt-BR"/>
        </w:rPr>
        <w:t>. Resultando em melhoria de indicadores para o sector financeiro e dentro desta, a indústria de seguros está. No entanto, é necessário que estes dois sectores melhorar seu desempenho como apenas 2,6% das empresas e entidades estudadas são eficientes.</w:t>
      </w:r>
    </w:p>
    <w:p w:rsidR="00A56C88" w:rsidRPr="00CA6D94" w:rsidRDefault="00A56C88" w:rsidP="00AE7024">
      <w:pPr>
        <w:jc w:val="both"/>
        <w:rPr>
          <w:lang w:val="pt-BR"/>
        </w:rPr>
      </w:pPr>
    </w:p>
    <w:p w:rsidR="00A558A7" w:rsidRDefault="00AE7024" w:rsidP="00AE7024">
      <w:pPr>
        <w:jc w:val="both"/>
        <w:rPr>
          <w:lang w:val="pt-BR"/>
        </w:rPr>
      </w:pPr>
      <w:r w:rsidRPr="00CA6D94">
        <w:rPr>
          <w:b/>
          <w:lang w:val="pt-BR"/>
        </w:rPr>
        <w:t xml:space="preserve">Palavras-chave: </w:t>
      </w:r>
      <w:r w:rsidRPr="00CA6D94">
        <w:rPr>
          <w:lang w:val="pt-BR"/>
        </w:rPr>
        <w:t xml:space="preserve">Data </w:t>
      </w:r>
      <w:proofErr w:type="spellStart"/>
      <w:r w:rsidRPr="00CA6D94">
        <w:rPr>
          <w:lang w:val="pt-BR"/>
        </w:rPr>
        <w:t>Envelopment</w:t>
      </w:r>
      <w:proofErr w:type="spellEnd"/>
      <w:r w:rsidRPr="00CA6D94">
        <w:rPr>
          <w:lang w:val="pt-BR"/>
        </w:rPr>
        <w:t xml:space="preserve"> </w:t>
      </w:r>
      <w:proofErr w:type="spellStart"/>
      <w:r w:rsidRPr="00CA6D94">
        <w:rPr>
          <w:lang w:val="pt-BR"/>
        </w:rPr>
        <w:t>Analysis</w:t>
      </w:r>
      <w:proofErr w:type="spellEnd"/>
      <w:r w:rsidRPr="00CA6D94">
        <w:rPr>
          <w:lang w:val="pt-BR"/>
        </w:rPr>
        <w:t xml:space="preserve"> (DEA), relativa eficiência, o setor real, Setor Financeiro</w:t>
      </w:r>
      <w:r w:rsidR="0053233C" w:rsidRPr="00CA6D94">
        <w:rPr>
          <w:lang w:val="pt-BR"/>
        </w:rPr>
        <w:t>.</w:t>
      </w:r>
    </w:p>
    <w:p w:rsidR="00F75609" w:rsidRDefault="00F75609" w:rsidP="00AE7024">
      <w:pPr>
        <w:jc w:val="both"/>
        <w:rPr>
          <w:lang w:val="pt-BR"/>
        </w:rPr>
      </w:pPr>
    </w:p>
    <w:p w:rsidR="00C4711E" w:rsidRDefault="00C4711E" w:rsidP="00AE7024">
      <w:pPr>
        <w:jc w:val="both"/>
        <w:rPr>
          <w:lang w:val="pt-BR"/>
        </w:rPr>
      </w:pPr>
    </w:p>
    <w:p w:rsidR="00C4711E" w:rsidRDefault="00C4711E" w:rsidP="00AE7024">
      <w:pPr>
        <w:jc w:val="both"/>
        <w:rPr>
          <w:lang w:val="pt-BR"/>
        </w:rPr>
      </w:pPr>
    </w:p>
    <w:p w:rsidR="00C4711E" w:rsidRDefault="00C4711E" w:rsidP="00AE7024">
      <w:pPr>
        <w:jc w:val="both"/>
        <w:rPr>
          <w:lang w:val="pt-BR"/>
        </w:rPr>
      </w:pPr>
    </w:p>
    <w:p w:rsidR="00C4711E" w:rsidRDefault="00C4711E" w:rsidP="00AE7024">
      <w:pPr>
        <w:jc w:val="both"/>
        <w:rPr>
          <w:lang w:val="pt-BR"/>
        </w:rPr>
      </w:pPr>
    </w:p>
    <w:p w:rsidR="00C4711E" w:rsidRDefault="00C4711E" w:rsidP="00AE7024">
      <w:pPr>
        <w:jc w:val="both"/>
        <w:rPr>
          <w:lang w:val="pt-BR"/>
        </w:rPr>
      </w:pPr>
    </w:p>
    <w:p w:rsidR="00C4711E" w:rsidRDefault="00C4711E" w:rsidP="00AE7024">
      <w:pPr>
        <w:jc w:val="both"/>
        <w:rPr>
          <w:lang w:val="pt-BR"/>
        </w:rPr>
      </w:pPr>
    </w:p>
    <w:p w:rsidR="00C4711E" w:rsidRDefault="00C4711E" w:rsidP="00AE7024">
      <w:pPr>
        <w:jc w:val="both"/>
        <w:rPr>
          <w:lang w:val="pt-BR"/>
        </w:rPr>
      </w:pPr>
    </w:p>
    <w:p w:rsidR="00C4711E" w:rsidRDefault="00C4711E" w:rsidP="00AE7024">
      <w:pPr>
        <w:jc w:val="both"/>
        <w:rPr>
          <w:lang w:val="pt-BR"/>
        </w:rPr>
      </w:pPr>
    </w:p>
    <w:p w:rsidR="00C4711E" w:rsidRDefault="00C4711E" w:rsidP="00AE7024">
      <w:pPr>
        <w:jc w:val="both"/>
        <w:rPr>
          <w:lang w:val="pt-BR"/>
        </w:rPr>
      </w:pPr>
    </w:p>
    <w:p w:rsidR="00C4711E" w:rsidRDefault="00C4711E" w:rsidP="00AE7024">
      <w:pPr>
        <w:jc w:val="both"/>
        <w:rPr>
          <w:lang w:val="pt-BR"/>
        </w:rPr>
      </w:pPr>
    </w:p>
    <w:p w:rsidR="00EB7E14" w:rsidRPr="00CA6D94" w:rsidRDefault="00C463FF" w:rsidP="00BA5DCF">
      <w:pPr>
        <w:jc w:val="both"/>
      </w:pPr>
      <w:commentRangeStart w:id="10"/>
      <w:r w:rsidRPr="00CA6D94">
        <w:rPr>
          <w:b/>
        </w:rPr>
        <w:lastRenderedPageBreak/>
        <w:t>INTRODUCCIÓN</w:t>
      </w:r>
      <w:commentRangeEnd w:id="10"/>
      <w:r w:rsidR="009E54BA">
        <w:rPr>
          <w:rStyle w:val="Refdecomentario"/>
        </w:rPr>
        <w:commentReference w:id="10"/>
      </w:r>
    </w:p>
    <w:p w:rsidR="00D91023" w:rsidRPr="00CA6D94" w:rsidRDefault="00D91023" w:rsidP="00BA5DCF">
      <w:pPr>
        <w:jc w:val="both"/>
        <w:rPr>
          <w:b/>
        </w:rPr>
      </w:pPr>
    </w:p>
    <w:p w:rsidR="00A833FA" w:rsidRPr="00CA6D94" w:rsidRDefault="00A833FA" w:rsidP="00BA5DCF">
      <w:pPr>
        <w:jc w:val="both"/>
      </w:pPr>
      <w:r w:rsidRPr="00CA6D94">
        <w:t>La noción de </w:t>
      </w:r>
      <w:r w:rsidRPr="00CA6D94">
        <w:rPr>
          <w:bCs/>
        </w:rPr>
        <w:t>eficiencia</w:t>
      </w:r>
      <w:r w:rsidRPr="00CA6D94">
        <w:t> tiene su origen en el término latino </w:t>
      </w:r>
      <w:commentRangeStart w:id="11"/>
      <w:proofErr w:type="spellStart"/>
      <w:r w:rsidRPr="00CA6D94">
        <w:rPr>
          <w:i/>
          <w:iCs/>
        </w:rPr>
        <w:t>efficientia</w:t>
      </w:r>
      <w:commentRangeEnd w:id="11"/>
      <w:proofErr w:type="spellEnd"/>
      <w:r w:rsidR="009E54BA">
        <w:rPr>
          <w:rStyle w:val="Refdecomentario"/>
        </w:rPr>
        <w:commentReference w:id="11"/>
      </w:r>
      <w:r w:rsidRPr="00CA6D94">
        <w:t> y hace referencia a la </w:t>
      </w:r>
      <w:r w:rsidRPr="00CA6D94">
        <w:rPr>
          <w:bCs/>
        </w:rPr>
        <w:t>habilidad de contar con algo o alguien para obtener un resultado</w:t>
      </w:r>
      <w:r w:rsidRPr="00CA6D94">
        <w:t xml:space="preserve">. En términos </w:t>
      </w:r>
      <w:r w:rsidR="00D47E2B" w:rsidRPr="00CA6D94">
        <w:t>del conce</w:t>
      </w:r>
      <w:r w:rsidR="00E70371" w:rsidRPr="00CA6D94">
        <w:t>pto de eficiencia y su utilidad,</w:t>
      </w:r>
      <w:r w:rsidRPr="00CA6D94">
        <w:t xml:space="preserve"> y a manera de ejemplo</w:t>
      </w:r>
      <w:r w:rsidR="00E70371" w:rsidRPr="00CA6D94">
        <w:t xml:space="preserve">, tenemos que para </w:t>
      </w:r>
      <w:commentRangeStart w:id="12"/>
      <w:r w:rsidRPr="00CA6D94">
        <w:t xml:space="preserve">Chiavenato </w:t>
      </w:r>
      <w:r w:rsidR="00E70371" w:rsidRPr="00CA6D94">
        <w:t>(</w:t>
      </w:r>
      <w:r w:rsidRPr="00CA6D94">
        <w:t>2004, p. 52)</w:t>
      </w:r>
      <w:commentRangeEnd w:id="12"/>
      <w:r w:rsidR="00673075">
        <w:rPr>
          <w:rStyle w:val="Refdecomentario"/>
        </w:rPr>
        <w:commentReference w:id="12"/>
      </w:r>
      <w:r w:rsidRPr="00CA6D94">
        <w:t xml:space="preserve"> </w:t>
      </w:r>
      <w:r w:rsidRPr="00CA6D94">
        <w:rPr>
          <w:i/>
        </w:rPr>
        <w:t>eficiencia</w:t>
      </w:r>
      <w:r w:rsidRPr="00CA6D94">
        <w:t xml:space="preserve"> "significa utilización correcta de los recursos (medios de producción) disponibles. Puede definirse mediante la ecuación E=P/R, donde P son los productos resultantes y R los recursos utilizados"</w:t>
      </w:r>
      <w:r w:rsidR="00E70371" w:rsidRPr="00CA6D94">
        <w:t xml:space="preserve">. Según </w:t>
      </w:r>
      <w:commentRangeStart w:id="13"/>
      <w:proofErr w:type="spellStart"/>
      <w:r w:rsidRPr="00CA6D94">
        <w:t>Koontz</w:t>
      </w:r>
      <w:proofErr w:type="spellEnd"/>
      <w:r w:rsidRPr="00CA6D94">
        <w:t xml:space="preserve"> </w:t>
      </w:r>
      <w:r w:rsidR="00E70371" w:rsidRPr="00CA6D94">
        <w:t xml:space="preserve">y </w:t>
      </w:r>
      <w:proofErr w:type="spellStart"/>
      <w:r w:rsidR="00E70371" w:rsidRPr="00CA6D94">
        <w:t>Weihrich</w:t>
      </w:r>
      <w:proofErr w:type="spellEnd"/>
      <w:r w:rsidRPr="00CA6D94">
        <w:t xml:space="preserve"> </w:t>
      </w:r>
      <w:r w:rsidR="00E70371" w:rsidRPr="00CA6D94">
        <w:t>(</w:t>
      </w:r>
      <w:r w:rsidRPr="00CA6D94">
        <w:t>2004, p. 14)</w:t>
      </w:r>
      <w:commentRangeEnd w:id="13"/>
      <w:r w:rsidR="009E54BA">
        <w:rPr>
          <w:rStyle w:val="Refdecomentario"/>
        </w:rPr>
        <w:commentReference w:id="13"/>
      </w:r>
      <w:r w:rsidR="00E70371" w:rsidRPr="00CA6D94">
        <w:t>,</w:t>
      </w:r>
      <w:r w:rsidRPr="00CA6D94">
        <w:t xml:space="preserve"> la eficiencia es "el logro de las metas con la menor cantidad de recursos"</w:t>
      </w:r>
      <w:r w:rsidR="00E70371" w:rsidRPr="00CA6D94">
        <w:t xml:space="preserve">. Mientras que para </w:t>
      </w:r>
      <w:proofErr w:type="spellStart"/>
      <w:r w:rsidR="00E70371" w:rsidRPr="00CA6D94">
        <w:t>Robbins</w:t>
      </w:r>
      <w:proofErr w:type="spellEnd"/>
      <w:r w:rsidR="00E70371" w:rsidRPr="00CA6D94">
        <w:t xml:space="preserve"> y </w:t>
      </w:r>
      <w:proofErr w:type="spellStart"/>
      <w:r w:rsidR="00E70371" w:rsidRPr="00CA6D94">
        <w:t>Coulter</w:t>
      </w:r>
      <w:proofErr w:type="spellEnd"/>
      <w:r w:rsidRPr="00CA6D94">
        <w:t xml:space="preserve"> </w:t>
      </w:r>
      <w:r w:rsidR="00E70371" w:rsidRPr="00CA6D94">
        <w:t>(</w:t>
      </w:r>
      <w:r w:rsidRPr="00CA6D94">
        <w:t>2005, p. 7)</w:t>
      </w:r>
      <w:r w:rsidR="00E70371" w:rsidRPr="00CA6D94">
        <w:t>,</w:t>
      </w:r>
      <w:r w:rsidRPr="00CA6D94">
        <w:t xml:space="preserve"> la eficiencia consiste en "obtener los mayores resultados con la mínima inversión". Ahora bien</w:t>
      </w:r>
      <w:r w:rsidR="00E70371" w:rsidRPr="00CA6D94">
        <w:t xml:space="preserve">, para </w:t>
      </w:r>
      <w:commentRangeStart w:id="14"/>
      <w:r w:rsidR="0009202A" w:rsidRPr="00CA6D94">
        <w:t>De Oliveira</w:t>
      </w:r>
      <w:r w:rsidRPr="00CA6D94">
        <w:t xml:space="preserve"> </w:t>
      </w:r>
      <w:r w:rsidR="00E70371" w:rsidRPr="00CA6D94">
        <w:t>(</w:t>
      </w:r>
      <w:r w:rsidRPr="00CA6D94">
        <w:t>2002, p. 20)</w:t>
      </w:r>
      <w:commentRangeEnd w:id="14"/>
      <w:r w:rsidR="00FB4BB1">
        <w:rPr>
          <w:rStyle w:val="Refdecomentario"/>
        </w:rPr>
        <w:commentReference w:id="14"/>
      </w:r>
      <w:r w:rsidR="00E70371" w:rsidRPr="00CA6D94">
        <w:t>,</w:t>
      </w:r>
      <w:r w:rsidRPr="00CA6D94">
        <w:t xml:space="preserve"> la eficiencia significa "operar de modo que los recursos sean utilizados de forma más adecuada". Específicamente</w:t>
      </w:r>
      <w:r w:rsidR="00E70371" w:rsidRPr="00CA6D94">
        <w:t xml:space="preserve">, para los economistas </w:t>
      </w:r>
      <w:commentRangeStart w:id="15"/>
      <w:proofErr w:type="spellStart"/>
      <w:r w:rsidRPr="00CA6D94">
        <w:t>Sam</w:t>
      </w:r>
      <w:r w:rsidR="00E70371" w:rsidRPr="00CA6D94">
        <w:t>uelson</w:t>
      </w:r>
      <w:proofErr w:type="spellEnd"/>
      <w:r w:rsidR="00E70371" w:rsidRPr="00CA6D94">
        <w:t xml:space="preserve"> y </w:t>
      </w:r>
      <w:proofErr w:type="spellStart"/>
      <w:r w:rsidR="00E70371" w:rsidRPr="00CA6D94">
        <w:t>Nordhaus</w:t>
      </w:r>
      <w:proofErr w:type="spellEnd"/>
      <w:r w:rsidRPr="00CA6D94">
        <w:t xml:space="preserve"> </w:t>
      </w:r>
      <w:r w:rsidR="00E70371" w:rsidRPr="00CA6D94">
        <w:t>(</w:t>
      </w:r>
      <w:r w:rsidRPr="00CA6D94">
        <w:t>2002, p.4)</w:t>
      </w:r>
      <w:commentRangeEnd w:id="15"/>
      <w:r w:rsidR="009E54BA">
        <w:rPr>
          <w:rStyle w:val="Refdecomentario"/>
        </w:rPr>
        <w:commentReference w:id="15"/>
      </w:r>
      <w:r w:rsidR="00E70371" w:rsidRPr="00CA6D94">
        <w:t>,</w:t>
      </w:r>
      <w:r w:rsidRPr="00CA6D94">
        <w:t xml:space="preserve"> “eficiencia significa utilización de los recursos de la sociedad de la manera más eficaz posible para satisfacer las necesidades y los deseos de los individuos"</w:t>
      </w:r>
      <w:r w:rsidR="00E70371" w:rsidRPr="00CA6D94">
        <w:t xml:space="preserve">. Según </w:t>
      </w:r>
      <w:proofErr w:type="spellStart"/>
      <w:r w:rsidR="00E70371" w:rsidRPr="00CA6D94">
        <w:t>Mankiw</w:t>
      </w:r>
      <w:proofErr w:type="spellEnd"/>
      <w:r w:rsidRPr="00CA6D94">
        <w:t xml:space="preserve"> </w:t>
      </w:r>
      <w:r w:rsidR="00E70371" w:rsidRPr="00CA6D94">
        <w:t>(</w:t>
      </w:r>
      <w:r w:rsidRPr="00CA6D94">
        <w:t>2004, p.4)</w:t>
      </w:r>
      <w:r w:rsidR="00E70371" w:rsidRPr="00CA6D94">
        <w:t>,</w:t>
      </w:r>
      <w:r w:rsidRPr="00CA6D94">
        <w:t xml:space="preserve"> la eficiencia es la "propiedad según la cual la sociedad aprovecha de la mejor manera posible sus recursos escasos</w:t>
      </w:r>
      <w:r w:rsidR="00E70371" w:rsidRPr="00CA6D94">
        <w:t xml:space="preserve">”; mientras que </w:t>
      </w:r>
      <w:commentRangeStart w:id="16"/>
      <w:r w:rsidR="00E70371" w:rsidRPr="00CA6D94">
        <w:t>Andrade</w:t>
      </w:r>
      <w:r w:rsidRPr="00CA6D94">
        <w:t xml:space="preserve"> </w:t>
      </w:r>
      <w:r w:rsidR="00E70371" w:rsidRPr="00CA6D94">
        <w:t>(</w:t>
      </w:r>
      <w:r w:rsidRPr="00CA6D94">
        <w:t>2005, p. 253)</w:t>
      </w:r>
      <w:commentRangeEnd w:id="16"/>
      <w:r w:rsidR="00586DBF">
        <w:rPr>
          <w:rStyle w:val="Refdecomentario"/>
        </w:rPr>
        <w:commentReference w:id="16"/>
      </w:r>
      <w:r w:rsidRPr="00CA6D94">
        <w:t xml:space="preserve"> la define </w:t>
      </w:r>
      <w:r w:rsidR="00E70371" w:rsidRPr="00CA6D94">
        <w:t>como</w:t>
      </w:r>
      <w:r w:rsidRPr="00CA6D94">
        <w:t xml:space="preserve"> "expresión que se emplea para medir la capacidad o cualidad de actuación de un sistema o sujeto económico, para lograr el cumplimiento de objetivos determinados, minimizando el empleo de recursos".</w:t>
      </w:r>
      <w:r w:rsidR="00D47E2B" w:rsidRPr="00CA6D94">
        <w:t xml:space="preserve"> </w:t>
      </w:r>
    </w:p>
    <w:p w:rsidR="00A833FA" w:rsidRPr="00CA6D94" w:rsidRDefault="00A833FA" w:rsidP="00BA5DCF">
      <w:pPr>
        <w:jc w:val="both"/>
      </w:pPr>
    </w:p>
    <w:p w:rsidR="00D91023" w:rsidRPr="00CA6D94" w:rsidRDefault="00586DBF" w:rsidP="00BA5DCF">
      <w:pPr>
        <w:jc w:val="both"/>
      </w:pPr>
      <w:commentRangeStart w:id="17"/>
      <w:r>
        <w:t xml:space="preserve">El artículo se organiza de la siguiente forma: esta introducción como una primera sección, posteriormente… y finalmente una sección de conclusiones. </w:t>
      </w:r>
      <w:commentRangeEnd w:id="17"/>
      <w:r>
        <w:rPr>
          <w:rStyle w:val="Refdecomentario"/>
        </w:rPr>
        <w:commentReference w:id="17"/>
      </w:r>
    </w:p>
    <w:p w:rsidR="0030547F" w:rsidRPr="00CA6D94" w:rsidRDefault="0030547F" w:rsidP="00BA5DCF">
      <w:pPr>
        <w:jc w:val="both"/>
      </w:pPr>
    </w:p>
    <w:p w:rsidR="00154B0A" w:rsidRPr="00CA6D94" w:rsidRDefault="00154B0A" w:rsidP="00BA5DCF">
      <w:pPr>
        <w:jc w:val="both"/>
        <w:rPr>
          <w:b/>
        </w:rPr>
      </w:pPr>
    </w:p>
    <w:p w:rsidR="004A3A29" w:rsidRPr="00CA6D94" w:rsidRDefault="00316EC7" w:rsidP="00BA5DCF">
      <w:pPr>
        <w:jc w:val="both"/>
        <w:rPr>
          <w:b/>
        </w:rPr>
      </w:pPr>
      <w:commentRangeStart w:id="18"/>
      <w:r>
        <w:rPr>
          <w:b/>
        </w:rPr>
        <w:t>TEORÍA Y LITERATURA</w:t>
      </w:r>
      <w:commentRangeEnd w:id="18"/>
      <w:r w:rsidR="00D95EB0">
        <w:rPr>
          <w:rStyle w:val="Refdecomentario"/>
        </w:rPr>
        <w:commentReference w:id="18"/>
      </w:r>
    </w:p>
    <w:p w:rsidR="004A3A29" w:rsidRPr="00CA6D94" w:rsidRDefault="004A3A29" w:rsidP="00BA5DCF">
      <w:pPr>
        <w:jc w:val="both"/>
        <w:rPr>
          <w:b/>
        </w:rPr>
      </w:pPr>
    </w:p>
    <w:p w:rsidR="008F23CA" w:rsidRPr="00CA6D94" w:rsidRDefault="00614184" w:rsidP="00BA5DCF">
      <w:pPr>
        <w:jc w:val="both"/>
        <w:rPr>
          <w:lang w:val="es-CO" w:eastAsia="en-US"/>
        </w:rPr>
      </w:pPr>
      <w:r w:rsidRPr="00CA6D94">
        <w:t>En el ámbito</w:t>
      </w:r>
      <w:r w:rsidR="00154B0A" w:rsidRPr="00CA6D94">
        <w:t xml:space="preserve"> mundial, la</w:t>
      </w:r>
      <w:r w:rsidR="000100A6" w:rsidRPr="00CA6D94">
        <w:t xml:space="preserve"> metodología </w:t>
      </w:r>
      <w:r w:rsidR="00154B0A" w:rsidRPr="00CA6D94">
        <w:t xml:space="preserve">DEA </w:t>
      </w:r>
      <w:r w:rsidR="000100A6" w:rsidRPr="00CA6D94">
        <w:t>ha sido utilizada para medir la eficiencia de los bancos, componente fundamental del sector financiero, como es el caso de los bancos vietnamitas</w:t>
      </w:r>
      <w:r w:rsidRPr="00CA6D94">
        <w:t>,</w:t>
      </w:r>
      <w:r w:rsidR="000100A6" w:rsidRPr="00CA6D94">
        <w:t xml:space="preserve"> en donde un </w:t>
      </w:r>
      <w:r w:rsidR="008F23CA" w:rsidRPr="00CA6D94">
        <w:t>estudio</w:t>
      </w:r>
      <w:r w:rsidR="000100A6" w:rsidRPr="00CA6D94">
        <w:t xml:space="preserve"> reveló</w:t>
      </w:r>
      <w:r w:rsidR="00154B0A" w:rsidRPr="00CA6D94">
        <w:t>,</w:t>
      </w:r>
      <w:r w:rsidR="000100A6" w:rsidRPr="00CA6D94">
        <w:t xml:space="preserve"> para el período de 2000-2014</w:t>
      </w:r>
      <w:r w:rsidR="00154B0A" w:rsidRPr="00CA6D94">
        <w:t>,</w:t>
      </w:r>
      <w:r w:rsidR="000100A6" w:rsidRPr="00CA6D94">
        <w:t xml:space="preserve"> el impacto que la rentabilidad y los efectos de reformas hechas por el gobierno tuvieron en la eficiencia de los mismos </w:t>
      </w:r>
      <w:commentRangeStart w:id="19"/>
      <w:r w:rsidR="000100A6" w:rsidRPr="00CA6D94">
        <w:t>(</w:t>
      </w:r>
      <w:proofErr w:type="spellStart"/>
      <w:r w:rsidR="00154B0A" w:rsidRPr="00CA6D94">
        <w:rPr>
          <w:lang w:val="es-CO" w:eastAsia="en-US"/>
        </w:rPr>
        <w:t>Nguyen</w:t>
      </w:r>
      <w:proofErr w:type="spellEnd"/>
      <w:r w:rsidR="00154B0A" w:rsidRPr="00CA6D94">
        <w:rPr>
          <w:lang w:val="es-CO" w:eastAsia="en-US"/>
        </w:rPr>
        <w:t xml:space="preserve">, </w:t>
      </w:r>
      <w:r w:rsidR="000100A6" w:rsidRPr="00CA6D94">
        <w:rPr>
          <w:lang w:val="es-CO" w:eastAsia="en-US"/>
        </w:rPr>
        <w:t xml:space="preserve"> </w:t>
      </w:r>
      <w:proofErr w:type="spellStart"/>
      <w:r w:rsidR="0053233C" w:rsidRPr="00CA6D94">
        <w:rPr>
          <w:lang w:val="es-CO" w:eastAsia="en-US"/>
        </w:rPr>
        <w:t>Nghiem</w:t>
      </w:r>
      <w:proofErr w:type="spellEnd"/>
      <w:r w:rsidR="0053233C" w:rsidRPr="00CA6D94">
        <w:rPr>
          <w:lang w:val="es-CO" w:eastAsia="en-US"/>
        </w:rPr>
        <w:t>, Roca</w:t>
      </w:r>
      <w:r w:rsidR="00154B0A" w:rsidRPr="00CA6D94">
        <w:rPr>
          <w:lang w:val="es-CO" w:eastAsia="en-US"/>
        </w:rPr>
        <w:t xml:space="preserve"> &amp; </w:t>
      </w:r>
      <w:proofErr w:type="spellStart"/>
      <w:r w:rsidR="00154B0A" w:rsidRPr="00CA6D94">
        <w:rPr>
          <w:lang w:val="es-CO" w:eastAsia="en-US"/>
        </w:rPr>
        <w:t>Sharma</w:t>
      </w:r>
      <w:proofErr w:type="spellEnd"/>
      <w:r w:rsidR="003F4B7F" w:rsidRPr="00CA6D94">
        <w:rPr>
          <w:lang w:val="es-CO" w:eastAsia="en-US"/>
        </w:rPr>
        <w:t xml:space="preserve">, </w:t>
      </w:r>
      <w:r w:rsidR="000100A6" w:rsidRPr="00CA6D94">
        <w:rPr>
          <w:lang w:val="es-CO" w:eastAsia="en-US"/>
        </w:rPr>
        <w:t>2016)</w:t>
      </w:r>
      <w:r w:rsidR="003F4B7F" w:rsidRPr="00CA6D94">
        <w:rPr>
          <w:lang w:val="es-CO" w:eastAsia="en-US"/>
        </w:rPr>
        <w:t>;</w:t>
      </w:r>
      <w:r w:rsidR="000100A6" w:rsidRPr="00CA6D94">
        <w:rPr>
          <w:lang w:val="es-CO" w:eastAsia="en-US"/>
        </w:rPr>
        <w:t xml:space="preserve"> </w:t>
      </w:r>
      <w:commentRangeEnd w:id="19"/>
      <w:r w:rsidR="00F75609">
        <w:rPr>
          <w:rStyle w:val="Refdecomentario"/>
        </w:rPr>
        <w:commentReference w:id="19"/>
      </w:r>
      <w:r w:rsidR="000100A6" w:rsidRPr="00CA6D94">
        <w:rPr>
          <w:lang w:val="es-CO" w:eastAsia="en-US"/>
        </w:rPr>
        <w:t>así como el caso de Ghana</w:t>
      </w:r>
      <w:r w:rsidRPr="00CA6D94">
        <w:rPr>
          <w:lang w:val="es-CO" w:eastAsia="en-US"/>
        </w:rPr>
        <w:t>, en el que</w:t>
      </w:r>
      <w:r w:rsidR="000100A6" w:rsidRPr="00CA6D94">
        <w:rPr>
          <w:lang w:val="es-CO" w:eastAsia="en-US"/>
        </w:rPr>
        <w:t xml:space="preserve"> </w:t>
      </w:r>
      <w:r w:rsidRPr="00CA6D94">
        <w:rPr>
          <w:lang w:val="es-CO" w:eastAsia="en-US"/>
        </w:rPr>
        <w:t xml:space="preserve">mediante </w:t>
      </w:r>
      <w:r w:rsidR="000100A6" w:rsidRPr="00CA6D94">
        <w:rPr>
          <w:lang w:val="es-CO" w:eastAsia="en-US"/>
        </w:rPr>
        <w:t xml:space="preserve">el uso de DEA se determinó la relación entre eficiencia y competencia para los bancos de este país y cuyo fruto fue la recomendación de enfocar los esfuerzos en la mejora de la competitividad a través de la reducción de las tasas de interés y el acceso a los créditos para impactar positivamente en el crecimiento económico </w:t>
      </w:r>
      <w:commentRangeStart w:id="20"/>
      <w:r w:rsidR="000100A6" w:rsidRPr="00CA6D94">
        <w:rPr>
          <w:lang w:val="es-CO" w:eastAsia="en-US"/>
        </w:rPr>
        <w:t>(</w:t>
      </w:r>
      <w:proofErr w:type="spellStart"/>
      <w:r w:rsidR="003F4B7F" w:rsidRPr="00CA6D94">
        <w:rPr>
          <w:lang w:val="es-CO" w:eastAsia="en-US"/>
        </w:rPr>
        <w:t>Alhassan</w:t>
      </w:r>
      <w:proofErr w:type="spellEnd"/>
      <w:r w:rsidR="003F4B7F" w:rsidRPr="00CA6D94">
        <w:rPr>
          <w:lang w:val="es-CO" w:eastAsia="en-US"/>
        </w:rPr>
        <w:t xml:space="preserve"> &amp; </w:t>
      </w:r>
      <w:proofErr w:type="spellStart"/>
      <w:r w:rsidR="003F4B7F" w:rsidRPr="00CA6D94">
        <w:rPr>
          <w:lang w:val="es-CO" w:eastAsia="en-US"/>
        </w:rPr>
        <w:t>Ohene</w:t>
      </w:r>
      <w:proofErr w:type="spellEnd"/>
      <w:r w:rsidR="003F4B7F" w:rsidRPr="00CA6D94">
        <w:rPr>
          <w:lang w:val="es-CO" w:eastAsia="en-US"/>
        </w:rPr>
        <w:t>-Asare</w:t>
      </w:r>
      <w:r w:rsidR="000100A6" w:rsidRPr="00CA6D94">
        <w:rPr>
          <w:lang w:val="es-CO" w:eastAsia="en-US"/>
        </w:rPr>
        <w:t>,</w:t>
      </w:r>
      <w:r w:rsidR="006156F0" w:rsidRPr="00CA6D94">
        <w:rPr>
          <w:lang w:val="es-CO" w:eastAsia="en-US"/>
        </w:rPr>
        <w:t xml:space="preserve"> </w:t>
      </w:r>
      <w:r w:rsidR="000100A6" w:rsidRPr="00CA6D94">
        <w:rPr>
          <w:lang w:val="es-CO" w:eastAsia="en-US"/>
        </w:rPr>
        <w:t>2016)</w:t>
      </w:r>
      <w:commentRangeEnd w:id="20"/>
      <w:r w:rsidR="00D95EB0">
        <w:rPr>
          <w:rStyle w:val="Refdecomentario"/>
        </w:rPr>
        <w:commentReference w:id="20"/>
      </w:r>
      <w:r w:rsidR="000100A6" w:rsidRPr="00CA6D94">
        <w:rPr>
          <w:lang w:val="es-CO" w:eastAsia="en-US"/>
        </w:rPr>
        <w:t>.</w:t>
      </w:r>
    </w:p>
    <w:p w:rsidR="008F23CA" w:rsidRDefault="008F23CA" w:rsidP="00BA5DCF">
      <w:pPr>
        <w:jc w:val="both"/>
        <w:rPr>
          <w:lang w:val="es-CO" w:eastAsia="en-US"/>
        </w:rPr>
      </w:pPr>
    </w:p>
    <w:p w:rsidR="00F75609" w:rsidRPr="00CA6D94" w:rsidRDefault="00F75609" w:rsidP="00BA5DCF">
      <w:pPr>
        <w:jc w:val="both"/>
        <w:rPr>
          <w:lang w:val="es-CO" w:eastAsia="en-US"/>
        </w:rPr>
      </w:pPr>
    </w:p>
    <w:p w:rsidR="00F75609" w:rsidRDefault="00F75609" w:rsidP="00F75609">
      <w:pPr>
        <w:jc w:val="both"/>
      </w:pPr>
      <w:commentRangeStart w:id="21"/>
      <w:r w:rsidRPr="00F75609">
        <w:rPr>
          <w:b/>
        </w:rPr>
        <w:t>La metodología DEA</w:t>
      </w:r>
      <w:r w:rsidRPr="00CA6D94">
        <w:t xml:space="preserve"> </w:t>
      </w:r>
      <w:commentRangeEnd w:id="21"/>
      <w:r>
        <w:rPr>
          <w:rStyle w:val="Refdecomentario"/>
        </w:rPr>
        <w:commentReference w:id="21"/>
      </w:r>
    </w:p>
    <w:p w:rsidR="00F75609" w:rsidRDefault="00F75609" w:rsidP="00F75609">
      <w:pPr>
        <w:jc w:val="both"/>
      </w:pPr>
    </w:p>
    <w:p w:rsidR="00F75609" w:rsidRPr="00CA6D94" w:rsidRDefault="00F75609" w:rsidP="00F75609">
      <w:pPr>
        <w:jc w:val="both"/>
      </w:pPr>
      <w:r>
        <w:t>D</w:t>
      </w:r>
      <w:r w:rsidRPr="00CA6D94">
        <w:t xml:space="preserve">etermina la medida de desempeño de cada unidad organizacional máxima relativa a las otras unidades, obteniendo los pesos de cada una de ellas, y hecho esto, se establecen las unidades organizacionales que conforman la frontera eficiente </w:t>
      </w:r>
      <w:commentRangeStart w:id="22"/>
      <w:r w:rsidRPr="00CA6D94">
        <w:t>(</w:t>
      </w:r>
      <w:proofErr w:type="spellStart"/>
      <w:r w:rsidRPr="00CA6D94">
        <w:t>Charnes</w:t>
      </w:r>
      <w:proofErr w:type="spellEnd"/>
      <w:r w:rsidRPr="00CA6D94">
        <w:t xml:space="preserve">, Cooper, Lewin &amp; </w:t>
      </w:r>
      <w:proofErr w:type="spellStart"/>
      <w:r w:rsidRPr="00CA6D94">
        <w:t>Seiford</w:t>
      </w:r>
      <w:proofErr w:type="spellEnd"/>
      <w:r w:rsidRPr="00CA6D94">
        <w:t>, 1994)</w:t>
      </w:r>
      <w:commentRangeEnd w:id="22"/>
      <w:r>
        <w:rPr>
          <w:rStyle w:val="Refdecomentario"/>
        </w:rPr>
        <w:commentReference w:id="22"/>
      </w:r>
      <w:r w:rsidRPr="00CA6D94">
        <w:t>.  Otra de las bondades de esta herramienta es la identificación de las unidades organizacionales ineficientes.</w:t>
      </w:r>
    </w:p>
    <w:p w:rsidR="008F23CA" w:rsidRPr="00CA6D94" w:rsidRDefault="008F23CA" w:rsidP="008F23CA">
      <w:pPr>
        <w:jc w:val="both"/>
        <w:rPr>
          <w:b/>
        </w:rPr>
      </w:pPr>
      <w:r w:rsidRPr="00CA6D94">
        <w:rPr>
          <w:b/>
        </w:rPr>
        <w:lastRenderedPageBreak/>
        <w:t>METODOLOGÍA</w:t>
      </w:r>
      <w:r w:rsidR="00316EC7">
        <w:rPr>
          <w:b/>
        </w:rPr>
        <w:t xml:space="preserve"> Y DATOS</w:t>
      </w:r>
    </w:p>
    <w:p w:rsidR="008F23CA" w:rsidRPr="00CA6D94" w:rsidRDefault="008F23CA" w:rsidP="008F23CA">
      <w:pPr>
        <w:jc w:val="both"/>
        <w:rPr>
          <w:b/>
        </w:rPr>
      </w:pPr>
    </w:p>
    <w:p w:rsidR="008F23CA" w:rsidRPr="00CA6D94" w:rsidRDefault="00F75609" w:rsidP="008F23CA">
      <w:pPr>
        <w:jc w:val="both"/>
      </w:pPr>
      <w:r>
        <w:t>Con</w:t>
      </w:r>
      <w:r w:rsidR="008F23CA" w:rsidRPr="00CA6D94">
        <w:t xml:space="preserve"> el fin de comparar </w:t>
      </w:r>
      <w:r w:rsidR="005D4FD8" w:rsidRPr="00CA6D94">
        <w:t>diferentes unidades de decisión</w:t>
      </w:r>
      <w:r>
        <w:t xml:space="preserve"> nos basamos en datos que fueron obtenidos de las siguientes bases o fuentes..</w:t>
      </w:r>
      <w:r w:rsidR="005D4FD8" w:rsidRPr="00CA6D94">
        <w:t>.</w:t>
      </w:r>
    </w:p>
    <w:p w:rsidR="008F23CA" w:rsidRPr="00CA6D94" w:rsidRDefault="008F23CA" w:rsidP="008F23CA">
      <w:pPr>
        <w:jc w:val="both"/>
      </w:pPr>
    </w:p>
    <w:p w:rsidR="00AF2C34" w:rsidRPr="00CA6D94" w:rsidRDefault="00AF2C34" w:rsidP="00BA5DCF">
      <w:pPr>
        <w:jc w:val="both"/>
      </w:pPr>
    </w:p>
    <w:p w:rsidR="009730B9" w:rsidRDefault="007803C2" w:rsidP="00BA5DCF">
      <w:pPr>
        <w:jc w:val="both"/>
        <w:rPr>
          <w:b/>
        </w:rPr>
      </w:pPr>
      <w:r w:rsidRPr="00CA6D94">
        <w:rPr>
          <w:b/>
        </w:rPr>
        <w:t xml:space="preserve">MODELO </w:t>
      </w:r>
    </w:p>
    <w:p w:rsidR="004B6858" w:rsidRPr="00CA6D94" w:rsidRDefault="004B6858" w:rsidP="00BA5DCF">
      <w:pPr>
        <w:jc w:val="both"/>
      </w:pPr>
    </w:p>
    <w:p w:rsidR="005E5D8E" w:rsidRPr="00CA6D94" w:rsidRDefault="007803C2" w:rsidP="00156F2C">
      <w:pPr>
        <w:jc w:val="both"/>
      </w:pPr>
      <w:r w:rsidRPr="00CA6D94">
        <w:t>Para esta investigación y dado que no fue posible establecer con certeza que los rendimientos a escala de las unidades estudiadas fues</w:t>
      </w:r>
      <w:r w:rsidR="0078188B" w:rsidRPr="00CA6D94">
        <w:t>en constantes, se optó por medi</w:t>
      </w:r>
      <w:r w:rsidRPr="00CA6D94">
        <w:t>r la eficiencia re</w:t>
      </w:r>
      <w:r w:rsidR="009276E6" w:rsidRPr="00CA6D94">
        <w:t>lativa mediante el modelo VRS</w:t>
      </w:r>
      <w:commentRangeStart w:id="23"/>
      <w:r w:rsidR="003D2712">
        <w:rPr>
          <w:rStyle w:val="Refdenotaalpie"/>
        </w:rPr>
        <w:footnoteReference w:id="1"/>
      </w:r>
      <w:commentRangeEnd w:id="23"/>
      <w:r w:rsidR="003D2712">
        <w:rPr>
          <w:rStyle w:val="Refdecomentario"/>
        </w:rPr>
        <w:commentReference w:id="23"/>
      </w:r>
      <w:r w:rsidR="009276E6" w:rsidRPr="00CA6D94">
        <w:t>,</w:t>
      </w:r>
      <w:r w:rsidRPr="00CA6D94">
        <w:t xml:space="preserve"> adicionalmente, </w:t>
      </w:r>
      <w:r w:rsidR="009276E6" w:rsidRPr="00CA6D94">
        <w:t xml:space="preserve">y </w:t>
      </w:r>
      <w:r w:rsidR="002F3E9F" w:rsidRPr="00CA6D94">
        <w:t>queriendo privilegiar</w:t>
      </w:r>
      <w:r w:rsidRPr="00CA6D94">
        <w:t xml:space="preserve"> la obtención de los mejores resultados se trabajó con la orientación a las salidas. </w:t>
      </w:r>
      <w:r w:rsidR="00021BE2" w:rsidRPr="00CA6D94">
        <w:t xml:space="preserve"> </w:t>
      </w:r>
      <w:r w:rsidR="005E5D8E" w:rsidRPr="00CA6D94">
        <w:t xml:space="preserve">Para </w:t>
      </w:r>
      <w:r w:rsidR="0078188B" w:rsidRPr="00CA6D94">
        <w:t>Rodríguez (2016</w:t>
      </w:r>
      <w:r w:rsidR="005E5D8E" w:rsidRPr="00CA6D94">
        <w:t>)</w:t>
      </w:r>
      <w:r w:rsidR="0053621D" w:rsidRPr="00CA6D94">
        <w:t>,</w:t>
      </w:r>
      <w:r w:rsidR="005E5D8E" w:rsidRPr="00CA6D94">
        <w:t xml:space="preserve"> la formulación matemática parte de la consideración de un conjunto compuesto por </w:t>
      </w:r>
      <w:r w:rsidR="005E5D8E" w:rsidRPr="00CA6D94">
        <w:rPr>
          <w:i/>
        </w:rPr>
        <w:t>n</w:t>
      </w:r>
      <w:r w:rsidR="005E5D8E" w:rsidRPr="00CA6D94">
        <w:t xml:space="preserve"> </w:t>
      </w:r>
      <w:proofErr w:type="spellStart"/>
      <w:r w:rsidR="005E5D8E" w:rsidRPr="00CA6D94">
        <w:t>DMUs</w:t>
      </w:r>
      <w:proofErr w:type="spellEnd"/>
      <w:r w:rsidR="003F222C">
        <w:rPr>
          <w:rStyle w:val="Refdenotaalpie"/>
        </w:rPr>
        <w:footnoteReference w:id="2"/>
      </w:r>
      <w:r w:rsidR="005E5D8E" w:rsidRPr="00CA6D94">
        <w:t xml:space="preserve">, denotadas como </w:t>
      </w:r>
      <w:commentRangeStart w:id="24"/>
      <w:proofErr w:type="spellStart"/>
      <w:r w:rsidR="005E5D8E" w:rsidRPr="00CA6D94">
        <w:t>DMU</w:t>
      </w:r>
      <w:r w:rsidR="005E5D8E" w:rsidRPr="00CA6D94">
        <w:rPr>
          <w:vertAlign w:val="subscript"/>
        </w:rPr>
        <w:t>j</w:t>
      </w:r>
      <w:proofErr w:type="spellEnd"/>
      <w:r w:rsidR="005E5D8E" w:rsidRPr="00CA6D94">
        <w:t xml:space="preserve"> (j=1,…</w:t>
      </w:r>
      <w:proofErr w:type="gramStart"/>
      <w:r w:rsidR="005E5D8E" w:rsidRPr="00CA6D94">
        <w:t>,</w:t>
      </w:r>
      <w:r w:rsidR="005E5D8E" w:rsidRPr="00CA6D94">
        <w:rPr>
          <w:i/>
        </w:rPr>
        <w:t>n</w:t>
      </w:r>
      <w:proofErr w:type="gramEnd"/>
      <w:r w:rsidR="005E5D8E" w:rsidRPr="00CA6D94">
        <w:t>)</w:t>
      </w:r>
      <w:commentRangeEnd w:id="24"/>
      <w:r w:rsidR="003D2712">
        <w:rPr>
          <w:rStyle w:val="Refdecomentario"/>
        </w:rPr>
        <w:commentReference w:id="24"/>
      </w:r>
      <w:r w:rsidR="005E5D8E" w:rsidRPr="00CA6D94">
        <w:t xml:space="preserve">; las cuales utilizan recursos </w:t>
      </w:r>
      <w:proofErr w:type="spellStart"/>
      <w:r w:rsidR="005E5D8E" w:rsidRPr="00CA6D94">
        <w:t>x</w:t>
      </w:r>
      <w:r w:rsidR="005E5D8E" w:rsidRPr="00CA6D94">
        <w:rPr>
          <w:vertAlign w:val="subscript"/>
        </w:rPr>
        <w:t>ij</w:t>
      </w:r>
      <w:proofErr w:type="spellEnd"/>
      <w:r w:rsidR="005E5D8E" w:rsidRPr="00CA6D94">
        <w:t xml:space="preserve"> (i=1,...,</w:t>
      </w:r>
      <w:r w:rsidR="005E5D8E" w:rsidRPr="00CA6D94">
        <w:rPr>
          <w:i/>
        </w:rPr>
        <w:t>m</w:t>
      </w:r>
      <w:r w:rsidR="005E5D8E" w:rsidRPr="00CA6D94">
        <w:t xml:space="preserve">) y generan s outputs </w:t>
      </w:r>
      <w:proofErr w:type="spellStart"/>
      <w:r w:rsidR="005E5D8E" w:rsidRPr="00CA6D94">
        <w:t>y</w:t>
      </w:r>
      <w:r w:rsidR="005E5D8E" w:rsidRPr="00CA6D94">
        <w:rPr>
          <w:vertAlign w:val="subscript"/>
        </w:rPr>
        <w:t>rj</w:t>
      </w:r>
      <w:proofErr w:type="spellEnd"/>
      <w:r w:rsidR="005E5D8E" w:rsidRPr="00CA6D94">
        <w:t xml:space="preserve"> (r=1,…s). Si los multiplicadores </w:t>
      </w:r>
      <w:proofErr w:type="spellStart"/>
      <w:r w:rsidR="005E5D8E" w:rsidRPr="00CA6D94">
        <w:t>ῡ</w:t>
      </w:r>
      <w:r w:rsidR="005E5D8E" w:rsidRPr="00CA6D94">
        <w:rPr>
          <w:vertAlign w:val="subscript"/>
        </w:rPr>
        <w:t>i</w:t>
      </w:r>
      <w:proofErr w:type="spellEnd"/>
      <w:r w:rsidR="005E5D8E" w:rsidRPr="00CA6D94">
        <w:t xml:space="preserve"> </w:t>
      </w:r>
      <w:proofErr w:type="spellStart"/>
      <w:r w:rsidR="005E5D8E" w:rsidRPr="00CA6D94">
        <w:t>ū</w:t>
      </w:r>
      <w:r w:rsidR="005E5D8E" w:rsidRPr="00CA6D94">
        <w:rPr>
          <w:vertAlign w:val="subscript"/>
        </w:rPr>
        <w:t>r</w:t>
      </w:r>
      <w:proofErr w:type="spellEnd"/>
      <w:r w:rsidR="005E5D8E" w:rsidRPr="00CA6D94">
        <w:t xml:space="preserve"> asociados con i entradas y r salidas respectivamente son conocidos con base en la teoría convencional beneficio/costo, la eficiencia  </w:t>
      </w:r>
      <w:proofErr w:type="spellStart"/>
      <w:r w:rsidR="005E5D8E" w:rsidRPr="00CA6D94">
        <w:t>ē</w:t>
      </w:r>
      <w:r w:rsidR="005E5D8E" w:rsidRPr="00CA6D94">
        <w:rPr>
          <w:vertAlign w:val="subscript"/>
        </w:rPr>
        <w:t>j</w:t>
      </w:r>
      <w:proofErr w:type="spellEnd"/>
      <w:r w:rsidR="005E5D8E" w:rsidRPr="00CA6D94">
        <w:t xml:space="preserve"> de </w:t>
      </w:r>
      <w:proofErr w:type="spellStart"/>
      <w:r w:rsidR="005E5D8E" w:rsidRPr="00CA6D94">
        <w:t>DMU</w:t>
      </w:r>
      <w:r w:rsidR="005E5D8E" w:rsidRPr="00CA6D94">
        <w:rPr>
          <w:vertAlign w:val="subscript"/>
        </w:rPr>
        <w:t>j</w:t>
      </w:r>
      <w:proofErr w:type="spellEnd"/>
      <w:r w:rsidR="005E5D8E" w:rsidRPr="00CA6D94">
        <w:t xml:space="preserve"> se puede expresar como la proporción (ratio) de los pesos de las salidas y los pesos de las entradas, así:</w:t>
      </w:r>
    </w:p>
    <w:p w:rsidR="0078188B" w:rsidRPr="00CA6D94" w:rsidRDefault="0078188B" w:rsidP="00156F2C">
      <w:pPr>
        <w:jc w:val="both"/>
      </w:pPr>
    </w:p>
    <w:p w:rsidR="005E5D8E" w:rsidRPr="000B48A2" w:rsidRDefault="0078188B" w:rsidP="005E5D8E">
      <w:pPr>
        <w:jc w:val="center"/>
      </w:pPr>
      <w:commentRangeStart w:id="25"/>
      <w:r w:rsidRPr="000B48A2">
        <w:t xml:space="preserve">                       </w:t>
      </w:r>
      <w:proofErr w:type="spellStart"/>
      <w:r w:rsidR="005E5D8E" w:rsidRPr="000B48A2">
        <w:t>Σ</w:t>
      </w:r>
      <w:r w:rsidR="005E5D8E" w:rsidRPr="000B48A2">
        <w:rPr>
          <w:vertAlign w:val="subscript"/>
        </w:rPr>
        <w:t>r</w:t>
      </w:r>
      <w:r w:rsidR="005E5D8E" w:rsidRPr="000B48A2">
        <w:t>ū</w:t>
      </w:r>
      <w:r w:rsidR="005E5D8E" w:rsidRPr="000B48A2">
        <w:rPr>
          <w:i/>
          <w:vertAlign w:val="subscript"/>
        </w:rPr>
        <w:t>r</w:t>
      </w:r>
      <w:proofErr w:type="spellEnd"/>
      <w:r w:rsidR="005E5D8E" w:rsidRPr="000B48A2">
        <w:rPr>
          <w:i/>
          <w:vertAlign w:val="subscript"/>
        </w:rPr>
        <w:t xml:space="preserve"> </w:t>
      </w:r>
      <w:proofErr w:type="spellStart"/>
      <w:r w:rsidR="005E5D8E" w:rsidRPr="000B48A2">
        <w:t>y</w:t>
      </w:r>
      <w:r w:rsidR="005E5D8E" w:rsidRPr="000B48A2">
        <w:rPr>
          <w:i/>
          <w:vertAlign w:val="subscript"/>
        </w:rPr>
        <w:t>rj</w:t>
      </w:r>
      <w:proofErr w:type="spellEnd"/>
      <w:r w:rsidR="005E5D8E" w:rsidRPr="000B48A2">
        <w:t xml:space="preserve"> / </w:t>
      </w:r>
      <w:proofErr w:type="spellStart"/>
      <w:r w:rsidR="005E5D8E" w:rsidRPr="000B48A2">
        <w:t>Σ</w:t>
      </w:r>
      <w:r w:rsidR="005E5D8E" w:rsidRPr="000B48A2">
        <w:rPr>
          <w:vertAlign w:val="subscript"/>
        </w:rPr>
        <w:t>i</w:t>
      </w:r>
      <w:r w:rsidR="005E5D8E" w:rsidRPr="000B48A2">
        <w:t>ῡ</w:t>
      </w:r>
      <w:r w:rsidR="005E5D8E" w:rsidRPr="000B48A2">
        <w:rPr>
          <w:i/>
          <w:vertAlign w:val="subscript"/>
        </w:rPr>
        <w:t>i</w:t>
      </w:r>
      <w:r w:rsidR="005E5D8E" w:rsidRPr="000B48A2">
        <w:t>x</w:t>
      </w:r>
      <w:r w:rsidR="005E5D8E" w:rsidRPr="000B48A2">
        <w:rPr>
          <w:i/>
          <w:vertAlign w:val="subscript"/>
        </w:rPr>
        <w:t>ij</w:t>
      </w:r>
      <w:proofErr w:type="spellEnd"/>
      <w:r w:rsidRPr="000B48A2">
        <w:rPr>
          <w:i/>
          <w:vertAlign w:val="subscript"/>
        </w:rPr>
        <w:t xml:space="preserve">          </w:t>
      </w:r>
      <w:r w:rsidRPr="000B48A2">
        <w:rPr>
          <w:vertAlign w:val="subscript"/>
        </w:rPr>
        <w:t xml:space="preserve">                               </w:t>
      </w:r>
      <w:r w:rsidRPr="000B48A2">
        <w:t>[1]</w:t>
      </w:r>
      <w:commentRangeEnd w:id="25"/>
      <w:r w:rsidR="009E54BA">
        <w:rPr>
          <w:rStyle w:val="Refdecomentario"/>
        </w:rPr>
        <w:commentReference w:id="25"/>
      </w:r>
    </w:p>
    <w:p w:rsidR="009276E6" w:rsidRDefault="009276E6" w:rsidP="00BA5DCF">
      <w:pPr>
        <w:jc w:val="both"/>
      </w:pPr>
    </w:p>
    <w:p w:rsidR="005817D0" w:rsidRPr="00CA6D94" w:rsidRDefault="005817D0" w:rsidP="00BA5DCF">
      <w:pPr>
        <w:jc w:val="both"/>
      </w:pPr>
    </w:p>
    <w:p w:rsidR="00EB7E14" w:rsidRDefault="00C463FF" w:rsidP="00BA5DCF">
      <w:pPr>
        <w:jc w:val="both"/>
        <w:rPr>
          <w:b/>
        </w:rPr>
      </w:pPr>
      <w:r w:rsidRPr="00CA6D94">
        <w:rPr>
          <w:b/>
        </w:rPr>
        <w:t>RESULTADOS</w:t>
      </w:r>
    </w:p>
    <w:p w:rsidR="00F75609" w:rsidRDefault="00F75609" w:rsidP="00BA5DCF">
      <w:pPr>
        <w:jc w:val="both"/>
        <w:rPr>
          <w:b/>
        </w:rPr>
      </w:pPr>
    </w:p>
    <w:p w:rsidR="00F75609" w:rsidRDefault="00F75609" w:rsidP="00F75609">
      <w:pPr>
        <w:jc w:val="both"/>
      </w:pPr>
      <w:r>
        <w:t>Los análisis del modelo VRS par</w:t>
      </w:r>
      <w:r w:rsidRPr="00F75609">
        <w:t xml:space="preserve">a la serie se ejecutan utilizando </w:t>
      </w:r>
      <w:r w:rsidR="001E4F73">
        <w:t>dos</w:t>
      </w:r>
      <w:r w:rsidRPr="00F75609">
        <w:t xml:space="preserve"> pruebas diferentes. Inicialmente se lleva a cabo para la Prueba Adicional </w:t>
      </w:r>
      <w:proofErr w:type="spellStart"/>
      <w:r w:rsidRPr="00F75609">
        <w:t>Dickey-Fuller</w:t>
      </w:r>
      <w:proofErr w:type="spellEnd"/>
      <w:r w:rsidRPr="00F75609">
        <w:t xml:space="preserve"> (ADF). ... Los resultados se indican en la </w:t>
      </w:r>
      <w:commentRangeStart w:id="26"/>
      <w:r w:rsidRPr="00F75609">
        <w:t>Tabla</w:t>
      </w:r>
      <w:r w:rsidR="005817D0">
        <w:t xml:space="preserve"> </w:t>
      </w:r>
      <w:r w:rsidRPr="00F75609">
        <w:t>1</w:t>
      </w:r>
      <w:commentRangeEnd w:id="26"/>
      <w:r w:rsidR="005817D0">
        <w:rPr>
          <w:rStyle w:val="Refdecomentario"/>
        </w:rPr>
        <w:commentReference w:id="26"/>
      </w:r>
      <w:r w:rsidRPr="00F75609">
        <w:t>.</w:t>
      </w:r>
    </w:p>
    <w:p w:rsidR="00F75609" w:rsidRPr="00CA6D94" w:rsidRDefault="00F75609" w:rsidP="00F75609">
      <w:pPr>
        <w:jc w:val="both"/>
      </w:pPr>
    </w:p>
    <w:p w:rsidR="00F75609" w:rsidRPr="003E09D7" w:rsidRDefault="00F75609" w:rsidP="003E09D7">
      <w:pPr>
        <w:jc w:val="center"/>
        <w:rPr>
          <w:b/>
          <w:sz w:val="20"/>
          <w:szCs w:val="20"/>
          <w:lang w:val="es-CO"/>
        </w:rPr>
      </w:pPr>
      <w:commentRangeStart w:id="27"/>
      <w:r w:rsidRPr="003E09D7">
        <w:rPr>
          <w:b/>
          <w:bCs/>
          <w:color w:val="000000"/>
          <w:sz w:val="20"/>
          <w:szCs w:val="20"/>
          <w:lang w:val="es-CO" w:eastAsia="en-US"/>
        </w:rPr>
        <w:t>Tabla 1</w:t>
      </w:r>
      <w:commentRangeEnd w:id="27"/>
      <w:r w:rsidR="008A20E8" w:rsidRPr="003E09D7">
        <w:rPr>
          <w:rStyle w:val="Refdecomentario"/>
          <w:sz w:val="20"/>
          <w:szCs w:val="20"/>
        </w:rPr>
        <w:commentReference w:id="27"/>
      </w:r>
      <w:r w:rsidRPr="003E09D7">
        <w:rPr>
          <w:b/>
          <w:bCs/>
          <w:color w:val="000000"/>
          <w:sz w:val="20"/>
          <w:szCs w:val="20"/>
          <w:lang w:val="es-CO" w:eastAsia="en-US"/>
        </w:rPr>
        <w:t xml:space="preserve">: </w:t>
      </w:r>
      <w:r w:rsidRPr="003E09D7">
        <w:rPr>
          <w:i/>
          <w:iCs/>
          <w:color w:val="000000"/>
          <w:sz w:val="20"/>
          <w:szCs w:val="20"/>
          <w:lang w:val="es-CO" w:eastAsia="en-US"/>
        </w:rPr>
        <w:t xml:space="preserve">Resultados del Modelo VRS (Variable </w:t>
      </w:r>
      <w:proofErr w:type="spellStart"/>
      <w:r w:rsidRPr="003E09D7">
        <w:rPr>
          <w:i/>
          <w:iCs/>
          <w:color w:val="000000"/>
          <w:sz w:val="20"/>
          <w:szCs w:val="20"/>
          <w:lang w:val="es-CO" w:eastAsia="en-US"/>
        </w:rPr>
        <w:t>Returns</w:t>
      </w:r>
      <w:proofErr w:type="spellEnd"/>
      <w:r w:rsidRPr="003E09D7">
        <w:rPr>
          <w:i/>
          <w:iCs/>
          <w:color w:val="000000"/>
          <w:sz w:val="20"/>
          <w:szCs w:val="20"/>
          <w:lang w:val="es-CO" w:eastAsia="en-US"/>
        </w:rPr>
        <w:t xml:space="preserve"> </w:t>
      </w:r>
      <w:proofErr w:type="spellStart"/>
      <w:r w:rsidRPr="003E09D7">
        <w:rPr>
          <w:i/>
          <w:iCs/>
          <w:color w:val="000000"/>
          <w:sz w:val="20"/>
          <w:szCs w:val="20"/>
          <w:lang w:val="es-CO" w:eastAsia="en-US"/>
        </w:rPr>
        <w:t>to</w:t>
      </w:r>
      <w:proofErr w:type="spellEnd"/>
      <w:r w:rsidRPr="003E09D7">
        <w:rPr>
          <w:i/>
          <w:iCs/>
          <w:color w:val="000000"/>
          <w:sz w:val="20"/>
          <w:szCs w:val="20"/>
          <w:lang w:val="es-CO" w:eastAsia="en-US"/>
        </w:rPr>
        <w:t xml:space="preserve"> </w:t>
      </w:r>
      <w:proofErr w:type="spellStart"/>
      <w:r w:rsidRPr="003E09D7">
        <w:rPr>
          <w:i/>
          <w:iCs/>
          <w:color w:val="000000"/>
          <w:sz w:val="20"/>
          <w:szCs w:val="20"/>
          <w:lang w:val="es-CO" w:eastAsia="en-US"/>
        </w:rPr>
        <w:t>Scale</w:t>
      </w:r>
      <w:proofErr w:type="spellEnd"/>
      <w:r w:rsidRPr="003E09D7">
        <w:rPr>
          <w:i/>
          <w:iCs/>
          <w:color w:val="000000"/>
          <w:sz w:val="20"/>
          <w:szCs w:val="20"/>
          <w:lang w:val="es-CO" w:eastAsia="en-US"/>
        </w:rPr>
        <w:t>) y pruebas…</w:t>
      </w:r>
    </w:p>
    <w:p w:rsidR="00F75609" w:rsidRPr="002236D2" w:rsidRDefault="00F75609" w:rsidP="00F75609">
      <w:pPr>
        <w:jc w:val="both"/>
        <w:rPr>
          <w:b/>
          <w:lang w:val="es-CO"/>
        </w:rPr>
      </w:pPr>
    </w:p>
    <w:tbl>
      <w:tblPr>
        <w:tblW w:w="5000" w:type="pct"/>
        <w:tblBorders>
          <w:top w:val="nil"/>
          <w:left w:val="nil"/>
          <w:bottom w:val="nil"/>
          <w:right w:val="nil"/>
        </w:tblBorders>
        <w:tblLook w:val="0000" w:firstRow="0" w:lastRow="0" w:firstColumn="0" w:lastColumn="0" w:noHBand="0" w:noVBand="0"/>
      </w:tblPr>
      <w:tblGrid>
        <w:gridCol w:w="1247"/>
        <w:gridCol w:w="1179"/>
        <w:gridCol w:w="1310"/>
        <w:gridCol w:w="1244"/>
        <w:gridCol w:w="1247"/>
        <w:gridCol w:w="1247"/>
        <w:gridCol w:w="1247"/>
      </w:tblGrid>
      <w:tr w:rsidR="00F75609" w:rsidRPr="000B48A2" w:rsidTr="00DC4B06">
        <w:trPr>
          <w:trHeight w:val="67"/>
        </w:trPr>
        <w:tc>
          <w:tcPr>
            <w:tcW w:w="1391" w:type="pct"/>
            <w:gridSpan w:val="2"/>
            <w:tcBorders>
              <w:bottom w:val="single" w:sz="4" w:space="0" w:color="auto"/>
              <w:right w:val="single" w:sz="4" w:space="0" w:color="auto"/>
            </w:tcBorders>
          </w:tcPr>
          <w:p w:rsidR="00F75609" w:rsidRPr="00316EC7" w:rsidRDefault="00F75609" w:rsidP="00DC4B06">
            <w:pPr>
              <w:autoSpaceDE w:val="0"/>
              <w:autoSpaceDN w:val="0"/>
              <w:adjustRightInd w:val="0"/>
              <w:jc w:val="right"/>
              <w:rPr>
                <w:b/>
                <w:color w:val="000000"/>
                <w:sz w:val="20"/>
                <w:lang w:val="en-US" w:eastAsia="en-US"/>
              </w:rPr>
            </w:pPr>
            <w:r w:rsidRPr="000B48A2">
              <w:rPr>
                <w:b/>
                <w:color w:val="000000"/>
                <w:sz w:val="20"/>
                <w:lang w:val="en-US" w:eastAsia="en-US"/>
              </w:rPr>
              <w:t>efficiency</w:t>
            </w:r>
          </w:p>
        </w:tc>
        <w:tc>
          <w:tcPr>
            <w:tcW w:w="751" w:type="pct"/>
            <w:tcBorders>
              <w:left w:val="single" w:sz="4" w:space="0" w:color="auto"/>
              <w:bottom w:val="single" w:sz="4" w:space="0" w:color="auto"/>
              <w:right w:val="single" w:sz="4" w:space="0" w:color="auto"/>
            </w:tcBorders>
          </w:tcPr>
          <w:p w:rsidR="00F75609" w:rsidRPr="00316EC7" w:rsidRDefault="00F75609" w:rsidP="00DC4B06">
            <w:pPr>
              <w:autoSpaceDE w:val="0"/>
              <w:autoSpaceDN w:val="0"/>
              <w:adjustRightInd w:val="0"/>
              <w:jc w:val="right"/>
              <w:rPr>
                <w:color w:val="000000"/>
                <w:sz w:val="20"/>
                <w:lang w:val="es-CO" w:eastAsia="en-US"/>
              </w:rPr>
            </w:pPr>
            <w:r w:rsidRPr="000B48A2">
              <w:rPr>
                <w:b/>
                <w:bCs/>
                <w:color w:val="000000"/>
                <w:sz w:val="20"/>
                <w:lang w:val="es-CO" w:eastAsia="en-US"/>
              </w:rPr>
              <w:t>input</w:t>
            </w:r>
            <w:r w:rsidRPr="00316EC7">
              <w:rPr>
                <w:b/>
                <w:bCs/>
                <w:color w:val="000000"/>
                <w:sz w:val="20"/>
                <w:lang w:val="es-CO" w:eastAsia="en-US"/>
              </w:rPr>
              <w:t xml:space="preserve"> (1) </w:t>
            </w:r>
          </w:p>
        </w:tc>
        <w:tc>
          <w:tcPr>
            <w:tcW w:w="713" w:type="pct"/>
            <w:tcBorders>
              <w:left w:val="single" w:sz="4" w:space="0" w:color="auto"/>
              <w:bottom w:val="single" w:sz="4" w:space="0" w:color="auto"/>
              <w:right w:val="single" w:sz="4" w:space="0" w:color="auto"/>
            </w:tcBorders>
          </w:tcPr>
          <w:p w:rsidR="00F75609" w:rsidRPr="00316EC7" w:rsidRDefault="00F75609" w:rsidP="00DC4B06">
            <w:pPr>
              <w:autoSpaceDE w:val="0"/>
              <w:autoSpaceDN w:val="0"/>
              <w:adjustRightInd w:val="0"/>
              <w:jc w:val="right"/>
              <w:rPr>
                <w:color w:val="000000"/>
                <w:sz w:val="20"/>
                <w:lang w:val="es-CO" w:eastAsia="en-US"/>
              </w:rPr>
            </w:pPr>
            <w:r w:rsidRPr="000B48A2">
              <w:rPr>
                <w:b/>
                <w:bCs/>
                <w:color w:val="000000"/>
                <w:sz w:val="20"/>
                <w:lang w:val="es-CO" w:eastAsia="en-US"/>
              </w:rPr>
              <w:t>output</w:t>
            </w:r>
            <w:r w:rsidRPr="00316EC7">
              <w:rPr>
                <w:b/>
                <w:bCs/>
                <w:color w:val="000000"/>
                <w:sz w:val="20"/>
                <w:lang w:val="es-CO" w:eastAsia="en-US"/>
              </w:rPr>
              <w:t xml:space="preserve"> (0) </w:t>
            </w:r>
          </w:p>
        </w:tc>
        <w:tc>
          <w:tcPr>
            <w:tcW w:w="715" w:type="pct"/>
            <w:tcBorders>
              <w:left w:val="single" w:sz="4" w:space="0" w:color="auto"/>
              <w:bottom w:val="single" w:sz="4" w:space="0" w:color="auto"/>
              <w:right w:val="single" w:sz="4" w:space="0" w:color="auto"/>
            </w:tcBorders>
          </w:tcPr>
          <w:p w:rsidR="00F75609" w:rsidRPr="00316EC7" w:rsidRDefault="00F75609" w:rsidP="00DC4B06">
            <w:pPr>
              <w:autoSpaceDE w:val="0"/>
              <w:autoSpaceDN w:val="0"/>
              <w:adjustRightInd w:val="0"/>
              <w:jc w:val="right"/>
              <w:rPr>
                <w:color w:val="000000"/>
                <w:sz w:val="20"/>
                <w:lang w:val="es-CO" w:eastAsia="en-US"/>
              </w:rPr>
            </w:pPr>
            <w:proofErr w:type="spellStart"/>
            <w:r w:rsidRPr="000B48A2">
              <w:rPr>
                <w:b/>
                <w:bCs/>
                <w:color w:val="000000"/>
                <w:sz w:val="20"/>
                <w:lang w:val="es-CO" w:eastAsia="en-US"/>
              </w:rPr>
              <w:t>realsect</w:t>
            </w:r>
            <w:proofErr w:type="spellEnd"/>
            <w:r w:rsidRPr="00316EC7">
              <w:rPr>
                <w:b/>
                <w:bCs/>
                <w:color w:val="000000"/>
                <w:sz w:val="20"/>
                <w:lang w:val="es-CO" w:eastAsia="en-US"/>
              </w:rPr>
              <w:t xml:space="preserve"> (1) </w:t>
            </w:r>
          </w:p>
        </w:tc>
        <w:tc>
          <w:tcPr>
            <w:tcW w:w="715" w:type="pct"/>
            <w:tcBorders>
              <w:left w:val="single" w:sz="4" w:space="0" w:color="auto"/>
              <w:bottom w:val="single" w:sz="4" w:space="0" w:color="auto"/>
              <w:right w:val="single" w:sz="4" w:space="0" w:color="auto"/>
            </w:tcBorders>
          </w:tcPr>
          <w:p w:rsidR="00F75609" w:rsidRPr="00316EC7" w:rsidRDefault="00F75609" w:rsidP="00DC4B06">
            <w:pPr>
              <w:autoSpaceDE w:val="0"/>
              <w:autoSpaceDN w:val="0"/>
              <w:adjustRightInd w:val="0"/>
              <w:jc w:val="right"/>
              <w:rPr>
                <w:color w:val="000000"/>
                <w:sz w:val="20"/>
                <w:lang w:val="es-CO" w:eastAsia="en-US"/>
              </w:rPr>
            </w:pPr>
            <w:proofErr w:type="spellStart"/>
            <w:r w:rsidRPr="000B48A2">
              <w:rPr>
                <w:b/>
                <w:bCs/>
                <w:color w:val="000000"/>
                <w:sz w:val="20"/>
                <w:lang w:val="es-CO" w:eastAsia="en-US"/>
              </w:rPr>
              <w:t>finsect</w:t>
            </w:r>
            <w:proofErr w:type="spellEnd"/>
            <w:r w:rsidRPr="00316EC7">
              <w:rPr>
                <w:b/>
                <w:bCs/>
                <w:color w:val="000000"/>
                <w:sz w:val="20"/>
                <w:lang w:val="es-CO" w:eastAsia="en-US"/>
              </w:rPr>
              <w:t xml:space="preserve">(0) </w:t>
            </w:r>
          </w:p>
        </w:tc>
        <w:tc>
          <w:tcPr>
            <w:tcW w:w="715" w:type="pct"/>
            <w:tcBorders>
              <w:left w:val="single" w:sz="4" w:space="0" w:color="auto"/>
              <w:bottom w:val="single" w:sz="4" w:space="0" w:color="auto"/>
            </w:tcBorders>
          </w:tcPr>
          <w:p w:rsidR="00F75609" w:rsidRPr="00316EC7" w:rsidRDefault="00F75609" w:rsidP="00DC4B06">
            <w:pPr>
              <w:autoSpaceDE w:val="0"/>
              <w:autoSpaceDN w:val="0"/>
              <w:adjustRightInd w:val="0"/>
              <w:jc w:val="right"/>
              <w:rPr>
                <w:color w:val="000000"/>
                <w:sz w:val="20"/>
                <w:lang w:val="es-CO" w:eastAsia="en-US"/>
              </w:rPr>
            </w:pPr>
            <w:proofErr w:type="spellStart"/>
            <w:r w:rsidRPr="00316EC7">
              <w:rPr>
                <w:b/>
                <w:bCs/>
                <w:color w:val="000000"/>
                <w:sz w:val="20"/>
                <w:lang w:val="es-CO" w:eastAsia="en-US"/>
              </w:rPr>
              <w:t>industry</w:t>
            </w:r>
            <w:proofErr w:type="spellEnd"/>
            <w:r w:rsidRPr="00316EC7">
              <w:rPr>
                <w:b/>
                <w:bCs/>
                <w:color w:val="000000"/>
                <w:sz w:val="20"/>
                <w:lang w:val="es-CO" w:eastAsia="en-US"/>
              </w:rPr>
              <w:t xml:space="preserve"> (0) </w:t>
            </w:r>
          </w:p>
        </w:tc>
      </w:tr>
      <w:tr w:rsidR="00F75609" w:rsidRPr="00316EC7" w:rsidTr="00DC4B06">
        <w:trPr>
          <w:trHeight w:val="617"/>
        </w:trPr>
        <w:tc>
          <w:tcPr>
            <w:tcW w:w="715" w:type="pct"/>
            <w:tcBorders>
              <w:top w:val="single" w:sz="4" w:space="0" w:color="auto"/>
              <w:bottom w:val="single" w:sz="4" w:space="0" w:color="auto"/>
              <w:right w:val="single" w:sz="4" w:space="0" w:color="auto"/>
            </w:tcBorders>
          </w:tcPr>
          <w:p w:rsidR="00F75609" w:rsidRPr="00316EC7" w:rsidRDefault="00F75609" w:rsidP="00DC4B06">
            <w:pPr>
              <w:autoSpaceDE w:val="0"/>
              <w:autoSpaceDN w:val="0"/>
              <w:adjustRightInd w:val="0"/>
              <w:rPr>
                <w:color w:val="000000"/>
                <w:sz w:val="20"/>
                <w:lang w:val="es-CO" w:eastAsia="en-US"/>
              </w:rPr>
            </w:pPr>
            <w:r w:rsidRPr="00316EC7">
              <w:rPr>
                <w:b/>
                <w:bCs/>
                <w:color w:val="000000"/>
                <w:sz w:val="20"/>
                <w:lang w:val="es-CO" w:eastAsia="en-US"/>
              </w:rPr>
              <w:t xml:space="preserve">ADF Test </w:t>
            </w:r>
          </w:p>
        </w:tc>
        <w:tc>
          <w:tcPr>
            <w:tcW w:w="676" w:type="pct"/>
            <w:tcBorders>
              <w:top w:val="single" w:sz="4" w:space="0" w:color="auto"/>
              <w:left w:val="single" w:sz="4" w:space="0" w:color="auto"/>
              <w:bottom w:val="single" w:sz="4" w:space="0" w:color="auto"/>
              <w:right w:val="single" w:sz="4" w:space="0" w:color="auto"/>
            </w:tcBorders>
          </w:tcPr>
          <w:p w:rsidR="00F75609" w:rsidRPr="00316EC7" w:rsidRDefault="00F75609" w:rsidP="00DC4B06">
            <w:pPr>
              <w:autoSpaceDE w:val="0"/>
              <w:autoSpaceDN w:val="0"/>
              <w:adjustRightInd w:val="0"/>
              <w:rPr>
                <w:color w:val="000000"/>
                <w:sz w:val="20"/>
                <w:lang w:val="es-CO" w:eastAsia="en-US"/>
              </w:rPr>
            </w:pPr>
            <w:commentRangeStart w:id="28"/>
            <w:r w:rsidRPr="00316EC7">
              <w:rPr>
                <w:color w:val="000000"/>
                <w:sz w:val="20"/>
                <w:lang w:val="es-CO" w:eastAsia="en-US"/>
              </w:rPr>
              <w:t xml:space="preserve">2,979738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(-1,948886) </w:t>
            </w:r>
          </w:p>
          <w:p w:rsidR="00F75609" w:rsidRPr="00316EC7" w:rsidRDefault="00F75609" w:rsidP="00DC4B06">
            <w:pPr>
              <w:autoSpaceDE w:val="0"/>
              <w:autoSpaceDN w:val="0"/>
              <w:adjustRightInd w:val="0"/>
              <w:rPr>
                <w:color w:val="000000"/>
                <w:sz w:val="20"/>
                <w:lang w:val="es-CO" w:eastAsia="en-US"/>
              </w:rPr>
            </w:pPr>
            <w:r w:rsidRPr="00316EC7">
              <w:rPr>
                <w:b/>
                <w:bCs/>
                <w:color w:val="000000"/>
                <w:sz w:val="20"/>
                <w:lang w:val="es-CO" w:eastAsia="en-US"/>
              </w:rPr>
              <w:t xml:space="preserve">1,553112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(-2,933158) </w:t>
            </w:r>
          </w:p>
          <w:p w:rsidR="00F75609" w:rsidRPr="00316EC7" w:rsidRDefault="00F75609" w:rsidP="00DC4B06">
            <w:pPr>
              <w:autoSpaceDE w:val="0"/>
              <w:autoSpaceDN w:val="0"/>
              <w:adjustRightInd w:val="0"/>
              <w:rPr>
                <w:color w:val="000000"/>
                <w:sz w:val="20"/>
                <w:lang w:val="es-CO" w:eastAsia="en-US"/>
              </w:rPr>
            </w:pPr>
            <w:r w:rsidRPr="00316EC7">
              <w:rPr>
                <w:i/>
                <w:iCs/>
                <w:color w:val="000000"/>
                <w:sz w:val="20"/>
                <w:lang w:val="es-CO" w:eastAsia="en-US"/>
              </w:rPr>
              <w:t xml:space="preserve">-0,647342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(-3,520787) </w:t>
            </w:r>
            <w:commentRangeEnd w:id="28"/>
            <w:r w:rsidR="003E09D7">
              <w:rPr>
                <w:rStyle w:val="Refdecomentario"/>
              </w:rPr>
              <w:commentReference w:id="28"/>
            </w:r>
          </w:p>
        </w:tc>
        <w:tc>
          <w:tcPr>
            <w:tcW w:w="751" w:type="pct"/>
            <w:tcBorders>
              <w:top w:val="single" w:sz="4" w:space="0" w:color="auto"/>
              <w:left w:val="single" w:sz="4" w:space="0" w:color="auto"/>
              <w:bottom w:val="single" w:sz="4" w:space="0" w:color="auto"/>
              <w:right w:val="single" w:sz="4" w:space="0" w:color="auto"/>
            </w:tcBorders>
          </w:tcPr>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-5,654487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(1,949097) </w:t>
            </w:r>
          </w:p>
          <w:p w:rsidR="00F75609" w:rsidRPr="00316EC7" w:rsidRDefault="00F75609" w:rsidP="00DC4B06">
            <w:pPr>
              <w:autoSpaceDE w:val="0"/>
              <w:autoSpaceDN w:val="0"/>
              <w:adjustRightInd w:val="0"/>
              <w:rPr>
                <w:color w:val="000000"/>
                <w:sz w:val="20"/>
                <w:lang w:val="es-CO" w:eastAsia="en-US"/>
              </w:rPr>
            </w:pPr>
            <w:r w:rsidRPr="00316EC7">
              <w:rPr>
                <w:b/>
                <w:bCs/>
                <w:color w:val="000000"/>
                <w:sz w:val="20"/>
                <w:lang w:val="es-CO" w:eastAsia="en-US"/>
              </w:rPr>
              <w:t xml:space="preserve">-6,505076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(-2,935001) </w:t>
            </w:r>
          </w:p>
          <w:p w:rsidR="00F75609" w:rsidRPr="00316EC7" w:rsidRDefault="00F75609" w:rsidP="00DC4B06">
            <w:pPr>
              <w:autoSpaceDE w:val="0"/>
              <w:autoSpaceDN w:val="0"/>
              <w:adjustRightInd w:val="0"/>
              <w:rPr>
                <w:color w:val="000000"/>
                <w:sz w:val="20"/>
                <w:lang w:val="es-CO" w:eastAsia="en-US"/>
              </w:rPr>
            </w:pPr>
            <w:r w:rsidRPr="00316EC7">
              <w:rPr>
                <w:i/>
                <w:iCs/>
                <w:color w:val="000000"/>
                <w:sz w:val="20"/>
                <w:lang w:val="es-CO" w:eastAsia="en-US"/>
              </w:rPr>
              <w:t xml:space="preserve">-7,301912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(-3,523623) </w:t>
            </w:r>
          </w:p>
        </w:tc>
        <w:tc>
          <w:tcPr>
            <w:tcW w:w="713" w:type="pct"/>
            <w:tcBorders>
              <w:top w:val="single" w:sz="4" w:space="0" w:color="auto"/>
              <w:left w:val="single" w:sz="4" w:space="0" w:color="auto"/>
              <w:bottom w:val="single" w:sz="4" w:space="0" w:color="auto"/>
              <w:right w:val="single" w:sz="4" w:space="0" w:color="auto"/>
            </w:tcBorders>
          </w:tcPr>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0,987704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(-1,948886) </w:t>
            </w:r>
          </w:p>
          <w:p w:rsidR="00F75609" w:rsidRPr="00316EC7" w:rsidRDefault="00F75609" w:rsidP="00DC4B06">
            <w:pPr>
              <w:autoSpaceDE w:val="0"/>
              <w:autoSpaceDN w:val="0"/>
              <w:adjustRightInd w:val="0"/>
              <w:rPr>
                <w:color w:val="000000"/>
                <w:sz w:val="20"/>
                <w:lang w:val="es-CO" w:eastAsia="en-US"/>
              </w:rPr>
            </w:pPr>
            <w:r w:rsidRPr="00316EC7">
              <w:rPr>
                <w:b/>
                <w:bCs/>
                <w:color w:val="000000"/>
                <w:sz w:val="20"/>
                <w:lang w:val="es-CO" w:eastAsia="en-US"/>
              </w:rPr>
              <w:t xml:space="preserve">-1,706041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(-2,933158) </w:t>
            </w:r>
          </w:p>
          <w:p w:rsidR="00F75609" w:rsidRPr="00316EC7" w:rsidRDefault="00F75609" w:rsidP="00DC4B06">
            <w:pPr>
              <w:autoSpaceDE w:val="0"/>
              <w:autoSpaceDN w:val="0"/>
              <w:adjustRightInd w:val="0"/>
              <w:rPr>
                <w:color w:val="000000"/>
                <w:sz w:val="20"/>
                <w:lang w:val="es-CO" w:eastAsia="en-US"/>
              </w:rPr>
            </w:pPr>
            <w:r w:rsidRPr="00316EC7">
              <w:rPr>
                <w:i/>
                <w:iCs/>
                <w:color w:val="000000"/>
                <w:sz w:val="20"/>
                <w:lang w:val="es-CO" w:eastAsia="en-US"/>
              </w:rPr>
              <w:t xml:space="preserve">-2,180316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(-3,520787) </w:t>
            </w:r>
          </w:p>
        </w:tc>
        <w:tc>
          <w:tcPr>
            <w:tcW w:w="715" w:type="pct"/>
            <w:tcBorders>
              <w:top w:val="single" w:sz="4" w:space="0" w:color="auto"/>
              <w:left w:val="single" w:sz="4" w:space="0" w:color="auto"/>
              <w:bottom w:val="single" w:sz="4" w:space="0" w:color="auto"/>
              <w:right w:val="single" w:sz="4" w:space="0" w:color="auto"/>
            </w:tcBorders>
          </w:tcPr>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-5,894409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(-1,949097) </w:t>
            </w:r>
          </w:p>
          <w:p w:rsidR="00F75609" w:rsidRPr="00316EC7" w:rsidRDefault="00F75609" w:rsidP="00DC4B06">
            <w:pPr>
              <w:autoSpaceDE w:val="0"/>
              <w:autoSpaceDN w:val="0"/>
              <w:adjustRightInd w:val="0"/>
              <w:rPr>
                <w:color w:val="000000"/>
                <w:sz w:val="20"/>
                <w:lang w:val="es-CO" w:eastAsia="en-US"/>
              </w:rPr>
            </w:pPr>
            <w:r w:rsidRPr="00316EC7">
              <w:rPr>
                <w:b/>
                <w:bCs/>
                <w:color w:val="000000"/>
                <w:sz w:val="20"/>
                <w:lang w:val="es-CO" w:eastAsia="en-US"/>
              </w:rPr>
              <w:t xml:space="preserve">-6,004486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(-2,935001) </w:t>
            </w:r>
          </w:p>
          <w:p w:rsidR="00F75609" w:rsidRPr="00316EC7" w:rsidRDefault="00F75609" w:rsidP="00DC4B06">
            <w:pPr>
              <w:autoSpaceDE w:val="0"/>
              <w:autoSpaceDN w:val="0"/>
              <w:adjustRightInd w:val="0"/>
              <w:rPr>
                <w:color w:val="000000"/>
                <w:sz w:val="20"/>
                <w:lang w:val="es-CO" w:eastAsia="en-US"/>
              </w:rPr>
            </w:pPr>
            <w:r w:rsidRPr="00316EC7">
              <w:rPr>
                <w:i/>
                <w:iCs/>
                <w:color w:val="000000"/>
                <w:sz w:val="20"/>
                <w:lang w:val="es-CO" w:eastAsia="en-US"/>
              </w:rPr>
              <w:t xml:space="preserve">-6,032341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(-3,523623) </w:t>
            </w:r>
          </w:p>
        </w:tc>
        <w:tc>
          <w:tcPr>
            <w:tcW w:w="715" w:type="pct"/>
            <w:tcBorders>
              <w:top w:val="single" w:sz="4" w:space="0" w:color="auto"/>
              <w:left w:val="single" w:sz="4" w:space="0" w:color="auto"/>
              <w:bottom w:val="single" w:sz="4" w:space="0" w:color="auto"/>
              <w:right w:val="single" w:sz="4" w:space="0" w:color="auto"/>
            </w:tcBorders>
          </w:tcPr>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-2,0555337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(-1,948886) </w:t>
            </w:r>
          </w:p>
          <w:p w:rsidR="00F75609" w:rsidRPr="00316EC7" w:rsidRDefault="00F75609" w:rsidP="00DC4B06">
            <w:pPr>
              <w:autoSpaceDE w:val="0"/>
              <w:autoSpaceDN w:val="0"/>
              <w:adjustRightInd w:val="0"/>
              <w:rPr>
                <w:color w:val="000000"/>
                <w:sz w:val="20"/>
                <w:lang w:val="es-CO" w:eastAsia="en-US"/>
              </w:rPr>
            </w:pPr>
            <w:r w:rsidRPr="00316EC7">
              <w:rPr>
                <w:b/>
                <w:bCs/>
                <w:color w:val="000000"/>
                <w:sz w:val="20"/>
                <w:lang w:val="es-CO" w:eastAsia="en-US"/>
              </w:rPr>
              <w:t xml:space="preserve">0,048548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(-2,933158) </w:t>
            </w:r>
          </w:p>
          <w:p w:rsidR="00F75609" w:rsidRPr="00316EC7" w:rsidRDefault="00F75609" w:rsidP="00DC4B06">
            <w:pPr>
              <w:autoSpaceDE w:val="0"/>
              <w:autoSpaceDN w:val="0"/>
              <w:adjustRightInd w:val="0"/>
              <w:rPr>
                <w:color w:val="000000"/>
                <w:sz w:val="20"/>
                <w:lang w:val="es-CO" w:eastAsia="en-US"/>
              </w:rPr>
            </w:pPr>
            <w:r w:rsidRPr="00316EC7">
              <w:rPr>
                <w:i/>
                <w:iCs/>
                <w:color w:val="000000"/>
                <w:sz w:val="20"/>
                <w:lang w:val="es-CO" w:eastAsia="en-US"/>
              </w:rPr>
              <w:t xml:space="preserve">-2,451416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(-3,520787) </w:t>
            </w:r>
          </w:p>
        </w:tc>
        <w:tc>
          <w:tcPr>
            <w:tcW w:w="715" w:type="pct"/>
            <w:tcBorders>
              <w:top w:val="single" w:sz="4" w:space="0" w:color="auto"/>
              <w:left w:val="single" w:sz="4" w:space="0" w:color="auto"/>
              <w:bottom w:val="single" w:sz="4" w:space="0" w:color="auto"/>
            </w:tcBorders>
          </w:tcPr>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-2,429787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(-1,949609) </w:t>
            </w:r>
          </w:p>
          <w:p w:rsidR="00F75609" w:rsidRPr="00316EC7" w:rsidRDefault="00F75609" w:rsidP="00DC4B06">
            <w:pPr>
              <w:autoSpaceDE w:val="0"/>
              <w:autoSpaceDN w:val="0"/>
              <w:adjustRightInd w:val="0"/>
              <w:rPr>
                <w:color w:val="000000"/>
                <w:sz w:val="20"/>
                <w:lang w:val="es-CO" w:eastAsia="en-US"/>
              </w:rPr>
            </w:pPr>
            <w:r w:rsidRPr="00316EC7">
              <w:rPr>
                <w:b/>
                <w:bCs/>
                <w:color w:val="000000"/>
                <w:sz w:val="20"/>
                <w:lang w:val="es-CO" w:eastAsia="en-US"/>
              </w:rPr>
              <w:t xml:space="preserve">-5,964103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(-2,935001) </w:t>
            </w:r>
          </w:p>
          <w:p w:rsidR="00F75609" w:rsidRPr="00316EC7" w:rsidRDefault="00F75609" w:rsidP="00DC4B06">
            <w:pPr>
              <w:autoSpaceDE w:val="0"/>
              <w:autoSpaceDN w:val="0"/>
              <w:adjustRightInd w:val="0"/>
              <w:rPr>
                <w:color w:val="000000"/>
                <w:sz w:val="20"/>
                <w:lang w:val="es-CO" w:eastAsia="en-US"/>
              </w:rPr>
            </w:pPr>
            <w:r w:rsidRPr="00316EC7">
              <w:rPr>
                <w:i/>
                <w:iCs/>
                <w:color w:val="000000"/>
                <w:sz w:val="20"/>
                <w:lang w:val="es-CO" w:eastAsia="en-US"/>
              </w:rPr>
              <w:t xml:space="preserve">-5,965028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(-3,523623) </w:t>
            </w:r>
          </w:p>
        </w:tc>
      </w:tr>
      <w:tr w:rsidR="00F75609" w:rsidRPr="00316EC7" w:rsidTr="00DC4B06">
        <w:trPr>
          <w:trHeight w:val="619"/>
        </w:trPr>
        <w:tc>
          <w:tcPr>
            <w:tcW w:w="715" w:type="pct"/>
            <w:tcBorders>
              <w:top w:val="single" w:sz="4" w:space="0" w:color="auto"/>
              <w:bottom w:val="single" w:sz="4" w:space="0" w:color="auto"/>
              <w:right w:val="single" w:sz="4" w:space="0" w:color="auto"/>
            </w:tcBorders>
          </w:tcPr>
          <w:p w:rsidR="00F75609" w:rsidRPr="00316EC7" w:rsidRDefault="00F75609" w:rsidP="00DC4B06">
            <w:pPr>
              <w:autoSpaceDE w:val="0"/>
              <w:autoSpaceDN w:val="0"/>
              <w:adjustRightInd w:val="0"/>
              <w:rPr>
                <w:color w:val="000000"/>
                <w:sz w:val="20"/>
                <w:lang w:val="es-CO" w:eastAsia="en-US"/>
              </w:rPr>
            </w:pPr>
            <w:r w:rsidRPr="00316EC7">
              <w:rPr>
                <w:b/>
                <w:bCs/>
                <w:color w:val="000000"/>
                <w:sz w:val="20"/>
                <w:lang w:val="es-CO" w:eastAsia="en-US"/>
              </w:rPr>
              <w:t xml:space="preserve">PP Test </w:t>
            </w:r>
          </w:p>
        </w:tc>
        <w:tc>
          <w:tcPr>
            <w:tcW w:w="676" w:type="pct"/>
            <w:tcBorders>
              <w:top w:val="single" w:sz="4" w:space="0" w:color="auto"/>
              <w:left w:val="single" w:sz="4" w:space="0" w:color="auto"/>
              <w:bottom w:val="single" w:sz="4" w:space="0" w:color="auto"/>
              <w:right w:val="single" w:sz="4" w:space="0" w:color="auto"/>
            </w:tcBorders>
          </w:tcPr>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3,544457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(-1,948886) </w:t>
            </w:r>
          </w:p>
          <w:p w:rsidR="00F75609" w:rsidRPr="00316EC7" w:rsidRDefault="00F75609" w:rsidP="00DC4B06">
            <w:pPr>
              <w:autoSpaceDE w:val="0"/>
              <w:autoSpaceDN w:val="0"/>
              <w:adjustRightInd w:val="0"/>
              <w:rPr>
                <w:color w:val="000000"/>
                <w:sz w:val="20"/>
                <w:lang w:val="es-CO" w:eastAsia="en-US"/>
              </w:rPr>
            </w:pPr>
            <w:r w:rsidRPr="00316EC7">
              <w:rPr>
                <w:b/>
                <w:bCs/>
                <w:color w:val="000000"/>
                <w:sz w:val="20"/>
                <w:lang w:val="es-CO" w:eastAsia="en-US"/>
              </w:rPr>
              <w:t xml:space="preserve">1,939396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(-2,933158) </w:t>
            </w:r>
          </w:p>
          <w:p w:rsidR="00F75609" w:rsidRPr="00316EC7" w:rsidRDefault="00F75609" w:rsidP="00DC4B06">
            <w:pPr>
              <w:autoSpaceDE w:val="0"/>
              <w:autoSpaceDN w:val="0"/>
              <w:adjustRightInd w:val="0"/>
              <w:rPr>
                <w:color w:val="000000"/>
                <w:sz w:val="20"/>
                <w:lang w:val="es-CO" w:eastAsia="en-US"/>
              </w:rPr>
            </w:pPr>
            <w:r w:rsidRPr="00316EC7">
              <w:rPr>
                <w:i/>
                <w:iCs/>
                <w:color w:val="000000"/>
                <w:sz w:val="20"/>
                <w:lang w:val="es-CO" w:eastAsia="en-US"/>
              </w:rPr>
              <w:t xml:space="preserve">-0,533400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(-3,520787) </w:t>
            </w:r>
          </w:p>
        </w:tc>
        <w:tc>
          <w:tcPr>
            <w:tcW w:w="751" w:type="pct"/>
            <w:tcBorders>
              <w:top w:val="single" w:sz="4" w:space="0" w:color="auto"/>
              <w:left w:val="single" w:sz="4" w:space="0" w:color="auto"/>
              <w:bottom w:val="single" w:sz="4" w:space="0" w:color="auto"/>
              <w:right w:val="single" w:sz="4" w:space="0" w:color="auto"/>
            </w:tcBorders>
          </w:tcPr>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-5,860955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(-1,949097) </w:t>
            </w:r>
          </w:p>
          <w:p w:rsidR="00F75609" w:rsidRPr="00316EC7" w:rsidRDefault="00F75609" w:rsidP="00DC4B06">
            <w:pPr>
              <w:autoSpaceDE w:val="0"/>
              <w:autoSpaceDN w:val="0"/>
              <w:adjustRightInd w:val="0"/>
              <w:rPr>
                <w:color w:val="000000"/>
                <w:sz w:val="20"/>
                <w:lang w:val="es-CO" w:eastAsia="en-US"/>
              </w:rPr>
            </w:pPr>
            <w:r w:rsidRPr="00316EC7">
              <w:rPr>
                <w:b/>
                <w:bCs/>
                <w:color w:val="000000"/>
                <w:sz w:val="20"/>
                <w:lang w:val="es-CO" w:eastAsia="en-US"/>
              </w:rPr>
              <w:t xml:space="preserve">-6,535308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(-2,935001) </w:t>
            </w:r>
          </w:p>
          <w:p w:rsidR="00F75609" w:rsidRPr="00316EC7" w:rsidRDefault="00F75609" w:rsidP="00DC4B06">
            <w:pPr>
              <w:autoSpaceDE w:val="0"/>
              <w:autoSpaceDN w:val="0"/>
              <w:adjustRightInd w:val="0"/>
              <w:rPr>
                <w:color w:val="000000"/>
                <w:sz w:val="20"/>
                <w:lang w:val="es-CO" w:eastAsia="en-US"/>
              </w:rPr>
            </w:pPr>
            <w:r w:rsidRPr="00316EC7">
              <w:rPr>
                <w:i/>
                <w:iCs/>
                <w:color w:val="000000"/>
                <w:sz w:val="20"/>
                <w:lang w:val="es-CO" w:eastAsia="en-US"/>
              </w:rPr>
              <w:t xml:space="preserve">-7,320672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(-3,523623) </w:t>
            </w:r>
          </w:p>
        </w:tc>
        <w:tc>
          <w:tcPr>
            <w:tcW w:w="713" w:type="pct"/>
            <w:tcBorders>
              <w:top w:val="single" w:sz="4" w:space="0" w:color="auto"/>
              <w:left w:val="single" w:sz="4" w:space="0" w:color="auto"/>
              <w:bottom w:val="single" w:sz="4" w:space="0" w:color="auto"/>
              <w:right w:val="single" w:sz="4" w:space="0" w:color="auto"/>
            </w:tcBorders>
          </w:tcPr>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0,968976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(-1,948886) </w:t>
            </w:r>
          </w:p>
          <w:p w:rsidR="00F75609" w:rsidRPr="00316EC7" w:rsidRDefault="00F75609" w:rsidP="00DC4B06">
            <w:pPr>
              <w:autoSpaceDE w:val="0"/>
              <w:autoSpaceDN w:val="0"/>
              <w:adjustRightInd w:val="0"/>
              <w:rPr>
                <w:color w:val="000000"/>
                <w:sz w:val="20"/>
                <w:lang w:val="es-CO" w:eastAsia="en-US"/>
              </w:rPr>
            </w:pPr>
            <w:r w:rsidRPr="00316EC7">
              <w:rPr>
                <w:b/>
                <w:bCs/>
                <w:color w:val="000000"/>
                <w:sz w:val="20"/>
                <w:lang w:val="es-CO" w:eastAsia="en-US"/>
              </w:rPr>
              <w:t xml:space="preserve">-1,706041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(-2,933158) </w:t>
            </w:r>
          </w:p>
          <w:p w:rsidR="00F75609" w:rsidRPr="00316EC7" w:rsidRDefault="00F75609" w:rsidP="00DC4B06">
            <w:pPr>
              <w:autoSpaceDE w:val="0"/>
              <w:autoSpaceDN w:val="0"/>
              <w:adjustRightInd w:val="0"/>
              <w:rPr>
                <w:color w:val="000000"/>
                <w:sz w:val="20"/>
                <w:lang w:val="es-CO" w:eastAsia="en-US"/>
              </w:rPr>
            </w:pPr>
            <w:r w:rsidRPr="00316EC7">
              <w:rPr>
                <w:i/>
                <w:iCs/>
                <w:color w:val="000000"/>
                <w:sz w:val="20"/>
                <w:lang w:val="es-CO" w:eastAsia="en-US"/>
              </w:rPr>
              <w:t xml:space="preserve">-2,322447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(-3,520787) </w:t>
            </w:r>
          </w:p>
        </w:tc>
        <w:tc>
          <w:tcPr>
            <w:tcW w:w="715" w:type="pct"/>
            <w:tcBorders>
              <w:top w:val="single" w:sz="4" w:space="0" w:color="auto"/>
              <w:left w:val="single" w:sz="4" w:space="0" w:color="auto"/>
              <w:bottom w:val="single" w:sz="4" w:space="0" w:color="auto"/>
              <w:right w:val="single" w:sz="4" w:space="0" w:color="auto"/>
            </w:tcBorders>
          </w:tcPr>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-5,881088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(-1,949097) </w:t>
            </w:r>
          </w:p>
          <w:p w:rsidR="00F75609" w:rsidRPr="00316EC7" w:rsidRDefault="00F75609" w:rsidP="00DC4B06">
            <w:pPr>
              <w:autoSpaceDE w:val="0"/>
              <w:autoSpaceDN w:val="0"/>
              <w:adjustRightInd w:val="0"/>
              <w:rPr>
                <w:color w:val="000000"/>
                <w:sz w:val="20"/>
                <w:lang w:val="es-CO" w:eastAsia="en-US"/>
              </w:rPr>
            </w:pPr>
            <w:r w:rsidRPr="00316EC7">
              <w:rPr>
                <w:b/>
                <w:bCs/>
                <w:color w:val="000000"/>
                <w:sz w:val="20"/>
                <w:lang w:val="es-CO" w:eastAsia="en-US"/>
              </w:rPr>
              <w:t xml:space="preserve">-6,004486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(-2,935001) </w:t>
            </w:r>
          </w:p>
          <w:p w:rsidR="00F75609" w:rsidRPr="00316EC7" w:rsidRDefault="00F75609" w:rsidP="00DC4B06">
            <w:pPr>
              <w:autoSpaceDE w:val="0"/>
              <w:autoSpaceDN w:val="0"/>
              <w:adjustRightInd w:val="0"/>
              <w:rPr>
                <w:color w:val="000000"/>
                <w:sz w:val="20"/>
                <w:lang w:val="es-CO" w:eastAsia="en-US"/>
              </w:rPr>
            </w:pPr>
            <w:r w:rsidRPr="00316EC7">
              <w:rPr>
                <w:i/>
                <w:iCs/>
                <w:color w:val="000000"/>
                <w:sz w:val="20"/>
                <w:lang w:val="es-CO" w:eastAsia="en-US"/>
              </w:rPr>
              <w:t xml:space="preserve">-6,032717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(-3,523623) </w:t>
            </w:r>
          </w:p>
        </w:tc>
        <w:tc>
          <w:tcPr>
            <w:tcW w:w="715" w:type="pct"/>
            <w:tcBorders>
              <w:top w:val="single" w:sz="4" w:space="0" w:color="auto"/>
              <w:left w:val="single" w:sz="4" w:space="0" w:color="auto"/>
              <w:bottom w:val="single" w:sz="4" w:space="0" w:color="auto"/>
              <w:right w:val="single" w:sz="4" w:space="0" w:color="auto"/>
            </w:tcBorders>
          </w:tcPr>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-2,0533552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(-1,948886) </w:t>
            </w:r>
          </w:p>
          <w:p w:rsidR="00F75609" w:rsidRPr="00316EC7" w:rsidRDefault="00F75609" w:rsidP="00DC4B06">
            <w:pPr>
              <w:autoSpaceDE w:val="0"/>
              <w:autoSpaceDN w:val="0"/>
              <w:adjustRightInd w:val="0"/>
              <w:rPr>
                <w:color w:val="000000"/>
                <w:sz w:val="20"/>
                <w:lang w:val="es-CO" w:eastAsia="en-US"/>
              </w:rPr>
            </w:pPr>
            <w:r w:rsidRPr="00316EC7">
              <w:rPr>
                <w:b/>
                <w:bCs/>
                <w:color w:val="000000"/>
                <w:sz w:val="20"/>
                <w:lang w:val="es-CO" w:eastAsia="en-US"/>
              </w:rPr>
              <w:t xml:space="preserve">0,102907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(-2,933158) </w:t>
            </w:r>
          </w:p>
          <w:p w:rsidR="00F75609" w:rsidRPr="00316EC7" w:rsidRDefault="00F75609" w:rsidP="00DC4B06">
            <w:pPr>
              <w:autoSpaceDE w:val="0"/>
              <w:autoSpaceDN w:val="0"/>
              <w:adjustRightInd w:val="0"/>
              <w:rPr>
                <w:color w:val="000000"/>
                <w:sz w:val="20"/>
                <w:lang w:val="es-CO" w:eastAsia="en-US"/>
              </w:rPr>
            </w:pPr>
            <w:r w:rsidRPr="00316EC7">
              <w:rPr>
                <w:i/>
                <w:iCs/>
                <w:color w:val="000000"/>
                <w:sz w:val="20"/>
                <w:lang w:val="es-CO" w:eastAsia="en-US"/>
              </w:rPr>
              <w:t xml:space="preserve">-2,433009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(-3,520787) </w:t>
            </w:r>
          </w:p>
        </w:tc>
        <w:tc>
          <w:tcPr>
            <w:tcW w:w="715" w:type="pct"/>
            <w:tcBorders>
              <w:top w:val="single" w:sz="4" w:space="0" w:color="auto"/>
              <w:left w:val="single" w:sz="4" w:space="0" w:color="auto"/>
              <w:bottom w:val="single" w:sz="4" w:space="0" w:color="auto"/>
            </w:tcBorders>
          </w:tcPr>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-5,548644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(-1,949097) </w:t>
            </w:r>
          </w:p>
          <w:p w:rsidR="00F75609" w:rsidRPr="00316EC7" w:rsidRDefault="00F75609" w:rsidP="00DC4B06">
            <w:pPr>
              <w:autoSpaceDE w:val="0"/>
              <w:autoSpaceDN w:val="0"/>
              <w:adjustRightInd w:val="0"/>
              <w:rPr>
                <w:color w:val="000000"/>
                <w:sz w:val="20"/>
                <w:lang w:val="es-CO" w:eastAsia="en-US"/>
              </w:rPr>
            </w:pPr>
            <w:r w:rsidRPr="00316EC7">
              <w:rPr>
                <w:b/>
                <w:bCs/>
                <w:color w:val="000000"/>
                <w:sz w:val="20"/>
                <w:lang w:val="es-CO" w:eastAsia="en-US"/>
              </w:rPr>
              <w:t xml:space="preserve">-5,953762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(-2,935001) </w:t>
            </w:r>
          </w:p>
          <w:p w:rsidR="00F75609" w:rsidRPr="00316EC7" w:rsidRDefault="00F75609" w:rsidP="00DC4B06">
            <w:pPr>
              <w:autoSpaceDE w:val="0"/>
              <w:autoSpaceDN w:val="0"/>
              <w:adjustRightInd w:val="0"/>
              <w:rPr>
                <w:color w:val="000000"/>
                <w:sz w:val="20"/>
                <w:lang w:val="es-CO" w:eastAsia="en-US"/>
              </w:rPr>
            </w:pPr>
            <w:r w:rsidRPr="00316EC7">
              <w:rPr>
                <w:i/>
                <w:iCs/>
                <w:color w:val="000000"/>
                <w:sz w:val="20"/>
                <w:lang w:val="es-CO" w:eastAsia="en-US"/>
              </w:rPr>
              <w:t xml:space="preserve">-5,951890 </w:t>
            </w:r>
          </w:p>
          <w:p w:rsidR="00F75609" w:rsidRPr="00316EC7" w:rsidRDefault="00F75609" w:rsidP="00DC4B06">
            <w:pPr>
              <w:autoSpaceDE w:val="0"/>
              <w:autoSpaceDN w:val="0"/>
              <w:adjustRightInd w:val="0"/>
              <w:rPr>
                <w:color w:val="000000"/>
                <w:sz w:val="20"/>
                <w:lang w:val="es-CO" w:eastAsia="en-US"/>
              </w:rPr>
            </w:pPr>
            <w:r w:rsidRPr="00316EC7">
              <w:rPr>
                <w:color w:val="000000"/>
                <w:sz w:val="20"/>
                <w:lang w:val="es-CO" w:eastAsia="en-US"/>
              </w:rPr>
              <w:t xml:space="preserve">(-3,523623) </w:t>
            </w:r>
          </w:p>
        </w:tc>
      </w:tr>
    </w:tbl>
    <w:p w:rsidR="00F75609" w:rsidRPr="00CA6D94" w:rsidRDefault="00F75609" w:rsidP="00F75609">
      <w:pPr>
        <w:jc w:val="both"/>
      </w:pPr>
    </w:p>
    <w:p w:rsidR="00F75609" w:rsidRPr="003E09D7" w:rsidRDefault="005817D0" w:rsidP="00F75609">
      <w:pPr>
        <w:jc w:val="both"/>
        <w:rPr>
          <w:sz w:val="20"/>
          <w:szCs w:val="20"/>
        </w:rPr>
      </w:pPr>
      <w:commentRangeStart w:id="29"/>
      <w:r w:rsidRPr="003E09D7">
        <w:rPr>
          <w:sz w:val="20"/>
          <w:szCs w:val="20"/>
        </w:rPr>
        <w:t>Notas</w:t>
      </w:r>
      <w:commentRangeEnd w:id="29"/>
      <w:r w:rsidRPr="003E09D7">
        <w:rPr>
          <w:rStyle w:val="Refdecomentario"/>
          <w:sz w:val="20"/>
          <w:szCs w:val="20"/>
        </w:rPr>
        <w:commentReference w:id="29"/>
      </w:r>
      <w:r w:rsidRPr="003E09D7">
        <w:rPr>
          <w:sz w:val="20"/>
          <w:szCs w:val="20"/>
        </w:rPr>
        <w:t>:</w:t>
      </w:r>
    </w:p>
    <w:p w:rsidR="00594714" w:rsidRPr="00CA6D94" w:rsidRDefault="00594714" w:rsidP="00BA5DCF">
      <w:pPr>
        <w:jc w:val="both"/>
        <w:rPr>
          <w:b/>
        </w:rPr>
      </w:pPr>
    </w:p>
    <w:p w:rsidR="00594714" w:rsidRPr="00CA6D94" w:rsidRDefault="0053621D" w:rsidP="00BA5DCF">
      <w:pPr>
        <w:jc w:val="both"/>
        <w:rPr>
          <w:b/>
        </w:rPr>
      </w:pPr>
      <w:commentRangeStart w:id="30"/>
      <w:r w:rsidRPr="00CA6D94">
        <w:rPr>
          <w:b/>
        </w:rPr>
        <w:t>Para las empresas del sector real</w:t>
      </w:r>
      <w:commentRangeEnd w:id="30"/>
      <w:r w:rsidR="003E09D7">
        <w:rPr>
          <w:rStyle w:val="Refdecomentario"/>
        </w:rPr>
        <w:commentReference w:id="30"/>
      </w:r>
    </w:p>
    <w:p w:rsidR="0053621D" w:rsidRPr="00CA6D94" w:rsidRDefault="0053621D" w:rsidP="00BA5DCF">
      <w:pPr>
        <w:jc w:val="both"/>
        <w:rPr>
          <w:b/>
        </w:rPr>
      </w:pPr>
    </w:p>
    <w:p w:rsidR="00E70341" w:rsidRPr="00CA6D94" w:rsidRDefault="00611D3F" w:rsidP="002D3CA9">
      <w:pPr>
        <w:jc w:val="both"/>
      </w:pPr>
      <w:r w:rsidRPr="00CA6D94">
        <w:t>Para el sector real</w:t>
      </w:r>
      <w:r w:rsidR="002F3E9F" w:rsidRPr="00CA6D94">
        <w:t>,</w:t>
      </w:r>
      <w:r w:rsidR="00E70341" w:rsidRPr="00CA6D94">
        <w:t xml:space="preserve"> </w:t>
      </w:r>
      <w:r w:rsidR="00917914" w:rsidRPr="00CA6D94">
        <w:t>660</w:t>
      </w:r>
      <w:r w:rsidR="00E70341" w:rsidRPr="00CA6D94">
        <w:t xml:space="preserve"> empresas fueron eficientes (</w:t>
      </w:r>
      <w:r w:rsidR="001052C6" w:rsidRPr="00CA6D94">
        <w:t>2</w:t>
      </w:r>
      <w:r w:rsidR="00917914" w:rsidRPr="00CA6D94">
        <w:t>,5</w:t>
      </w:r>
      <w:r w:rsidR="0053621D" w:rsidRPr="00CA6D94">
        <w:t xml:space="preserve"> </w:t>
      </w:r>
      <w:r w:rsidR="001052C6" w:rsidRPr="00CA6D94">
        <w:t>%)</w:t>
      </w:r>
      <w:r w:rsidR="003F6B7C" w:rsidRPr="00CA6D94">
        <w:t xml:space="preserve">. </w:t>
      </w:r>
      <w:r w:rsidR="002D3CA9" w:rsidRPr="00CA6D94">
        <w:t xml:space="preserve">La </w:t>
      </w:r>
      <w:r w:rsidR="0053621D" w:rsidRPr="00CA6D94">
        <w:t>Figura</w:t>
      </w:r>
      <w:r w:rsidR="00217237" w:rsidRPr="00CA6D94">
        <w:t xml:space="preserve"> 1 </w:t>
      </w:r>
      <w:r w:rsidR="003E09D7" w:rsidRPr="00CA6D94">
        <w:t>muestra</w:t>
      </w:r>
      <w:r w:rsidR="002D3CA9" w:rsidRPr="00CA6D94">
        <w:t xml:space="preserve"> cómo están distribuidas.</w:t>
      </w:r>
    </w:p>
    <w:p w:rsidR="00594714" w:rsidRPr="00CA6D94" w:rsidRDefault="00594714" w:rsidP="00BA5DCF">
      <w:pPr>
        <w:jc w:val="both"/>
        <w:rPr>
          <w:b/>
        </w:rPr>
      </w:pPr>
    </w:p>
    <w:p w:rsidR="00594714" w:rsidRPr="00CA6D94" w:rsidRDefault="00594714" w:rsidP="00BA5DCF">
      <w:pPr>
        <w:jc w:val="both"/>
        <w:rPr>
          <w:b/>
        </w:rPr>
      </w:pPr>
    </w:p>
    <w:p w:rsidR="00D542BA" w:rsidRPr="00CA6D94" w:rsidRDefault="00A6052D" w:rsidP="00BA5DCF">
      <w:pPr>
        <w:jc w:val="both"/>
      </w:pPr>
      <w:r w:rsidRPr="00CA6D94">
        <w:rPr>
          <w:noProof/>
          <w:lang w:val="es-CO" w:eastAsia="es-CO"/>
        </w:rPr>
        <w:drawing>
          <wp:inline distT="0" distB="0" distL="0" distR="0" wp14:anchorId="39A104FC" wp14:editId="71491AF9">
            <wp:extent cx="5495925" cy="3000375"/>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42BA" w:rsidRDefault="0053621D" w:rsidP="009B38C7">
      <w:pPr>
        <w:jc w:val="center"/>
        <w:rPr>
          <w:sz w:val="20"/>
          <w:szCs w:val="20"/>
        </w:rPr>
      </w:pPr>
      <w:commentRangeStart w:id="31"/>
      <w:r w:rsidRPr="003E09D7">
        <w:rPr>
          <w:b/>
          <w:sz w:val="20"/>
          <w:szCs w:val="20"/>
        </w:rPr>
        <w:t>Figura1.</w:t>
      </w:r>
      <w:r w:rsidRPr="003E09D7">
        <w:rPr>
          <w:sz w:val="20"/>
          <w:szCs w:val="20"/>
        </w:rPr>
        <w:t xml:space="preserve"> Empresas eficientes sector real</w:t>
      </w:r>
      <w:commentRangeEnd w:id="31"/>
      <w:r w:rsidR="005817D0" w:rsidRPr="003E09D7">
        <w:rPr>
          <w:rStyle w:val="Refdecomentario"/>
          <w:sz w:val="20"/>
          <w:szCs w:val="20"/>
        </w:rPr>
        <w:commentReference w:id="31"/>
      </w:r>
    </w:p>
    <w:p w:rsidR="00594714" w:rsidRPr="00CA6D94" w:rsidRDefault="00594714" w:rsidP="00BA5DCF">
      <w:pPr>
        <w:jc w:val="both"/>
        <w:rPr>
          <w:sz w:val="22"/>
        </w:rPr>
      </w:pPr>
    </w:p>
    <w:p w:rsidR="000C2A1F" w:rsidRPr="00CA6D94" w:rsidRDefault="000C2A1F" w:rsidP="00BA5DCF">
      <w:pPr>
        <w:jc w:val="both"/>
      </w:pPr>
    </w:p>
    <w:p w:rsidR="000C2A1F" w:rsidRPr="00CA6D94" w:rsidRDefault="00611D3F" w:rsidP="00BA5DCF">
      <w:pPr>
        <w:jc w:val="both"/>
      </w:pPr>
      <w:r w:rsidRPr="00CA6D94">
        <w:t>El 52.1</w:t>
      </w:r>
      <w:r w:rsidR="002F5B1D" w:rsidRPr="00CA6D94">
        <w:t xml:space="preserve"> </w:t>
      </w:r>
      <w:r w:rsidRPr="00CA6D94">
        <w:t>% de las empr</w:t>
      </w:r>
      <w:r w:rsidR="002F5B1D" w:rsidRPr="00CA6D94">
        <w:t>esas eficientes del sector real pertenece</w:t>
      </w:r>
      <w:r w:rsidRPr="00CA6D94">
        <w:t xml:space="preserve"> al subsector del </w:t>
      </w:r>
      <w:r w:rsidRPr="00CA6D94">
        <w:rPr>
          <w:sz w:val="22"/>
          <w:szCs w:val="22"/>
        </w:rPr>
        <w:t>comercio al por mayor y al por menor y a las industrias manufactureras.</w:t>
      </w:r>
    </w:p>
    <w:p w:rsidR="00461343" w:rsidRPr="00CA6D94" w:rsidRDefault="00461343" w:rsidP="00461343">
      <w:pPr>
        <w:jc w:val="both"/>
      </w:pPr>
    </w:p>
    <w:p w:rsidR="00611D3F" w:rsidRPr="00CA6D94" w:rsidRDefault="00611D3F" w:rsidP="00BA5DCF">
      <w:pPr>
        <w:jc w:val="both"/>
      </w:pPr>
    </w:p>
    <w:p w:rsidR="008F3FA8" w:rsidRPr="00CA6D94" w:rsidRDefault="009B38C7" w:rsidP="00BA5DCF">
      <w:pPr>
        <w:jc w:val="both"/>
        <w:rPr>
          <w:b/>
        </w:rPr>
      </w:pPr>
      <w:r>
        <w:rPr>
          <w:b/>
        </w:rPr>
        <w:t>CONCLUSIONES</w:t>
      </w:r>
    </w:p>
    <w:p w:rsidR="002F5B1D" w:rsidRPr="00CA6D94" w:rsidRDefault="002F5B1D" w:rsidP="00BA5DCF">
      <w:pPr>
        <w:jc w:val="both"/>
      </w:pPr>
    </w:p>
    <w:p w:rsidR="004A29BD" w:rsidRPr="00CA6D94" w:rsidRDefault="00C70738" w:rsidP="009B38C7">
      <w:pPr>
        <w:jc w:val="both"/>
      </w:pPr>
      <w:r w:rsidRPr="00CA6D94">
        <w:t>Del análisis se est</w:t>
      </w:r>
      <w:r w:rsidR="009B38C7">
        <w:t>ablece que para el sector real…</w:t>
      </w:r>
    </w:p>
    <w:p w:rsidR="00A32F11" w:rsidRPr="00CA6D94" w:rsidRDefault="00A32F11" w:rsidP="00BA5DCF">
      <w:pPr>
        <w:jc w:val="both"/>
      </w:pPr>
    </w:p>
    <w:p w:rsidR="00F55702" w:rsidRPr="00CA6D94" w:rsidRDefault="00F55702" w:rsidP="00BA5DCF">
      <w:pPr>
        <w:jc w:val="both"/>
        <w:rPr>
          <w:b/>
        </w:rPr>
      </w:pPr>
    </w:p>
    <w:p w:rsidR="004A29BD" w:rsidRPr="00CA6D94" w:rsidRDefault="004A29BD" w:rsidP="004A29BD">
      <w:pPr>
        <w:jc w:val="both"/>
        <w:rPr>
          <w:rFonts w:eastAsia="Calibri"/>
          <w:b/>
          <w:lang w:val="en-US"/>
        </w:rPr>
      </w:pPr>
      <w:r w:rsidRPr="00CA6D94">
        <w:rPr>
          <w:rFonts w:eastAsia="Calibri"/>
          <w:b/>
          <w:lang w:val="en-US"/>
        </w:rPr>
        <w:t>REFERENCIAS</w:t>
      </w:r>
    </w:p>
    <w:p w:rsidR="004A29BD" w:rsidRPr="00CA6D94" w:rsidRDefault="004A29BD" w:rsidP="004A29BD">
      <w:pPr>
        <w:jc w:val="both"/>
        <w:rPr>
          <w:rFonts w:eastAsia="Calibri"/>
          <w:b/>
          <w:lang w:val="en-US"/>
        </w:rPr>
      </w:pPr>
    </w:p>
    <w:p w:rsidR="004A29BD" w:rsidRPr="00CA6D94" w:rsidRDefault="004A29BD" w:rsidP="004A29BD">
      <w:pPr>
        <w:ind w:left="708" w:hanging="708"/>
        <w:jc w:val="both"/>
        <w:rPr>
          <w:rFonts w:eastAsia="Calibri"/>
          <w:lang w:val="en-US"/>
        </w:rPr>
      </w:pPr>
    </w:p>
    <w:p w:rsidR="004A29BD" w:rsidRPr="00CA6D94" w:rsidRDefault="004A29BD" w:rsidP="004A29BD">
      <w:pPr>
        <w:ind w:left="708" w:hanging="708"/>
        <w:jc w:val="both"/>
        <w:rPr>
          <w:rFonts w:eastAsia="Calibri"/>
          <w:lang w:val="en-US"/>
        </w:rPr>
      </w:pPr>
      <w:commentRangeStart w:id="32"/>
      <w:proofErr w:type="spellStart"/>
      <w:proofErr w:type="gramStart"/>
      <w:r w:rsidRPr="00CA6D94">
        <w:rPr>
          <w:rFonts w:eastAsia="Calibri"/>
          <w:lang w:val="en-US"/>
        </w:rPr>
        <w:t>Alhassan</w:t>
      </w:r>
      <w:proofErr w:type="spellEnd"/>
      <w:r w:rsidRPr="00CA6D94">
        <w:rPr>
          <w:rFonts w:eastAsia="Calibri"/>
          <w:lang w:val="en-US"/>
        </w:rPr>
        <w:t xml:space="preserve">, A. L. &amp; </w:t>
      </w:r>
      <w:proofErr w:type="spellStart"/>
      <w:r w:rsidRPr="00CA6D94">
        <w:rPr>
          <w:rFonts w:eastAsia="Calibri"/>
          <w:lang w:val="en-US"/>
        </w:rPr>
        <w:t>Ohene-Asare</w:t>
      </w:r>
      <w:proofErr w:type="spellEnd"/>
      <w:r w:rsidRPr="00CA6D94">
        <w:rPr>
          <w:rFonts w:eastAsia="Calibri"/>
          <w:lang w:val="en-US"/>
        </w:rPr>
        <w:t>, K. (2016).</w:t>
      </w:r>
      <w:proofErr w:type="gramEnd"/>
      <w:r w:rsidRPr="00CA6D94">
        <w:rPr>
          <w:rFonts w:eastAsia="Calibri"/>
          <w:lang w:val="en-US"/>
        </w:rPr>
        <w:t xml:space="preserve"> </w:t>
      </w:r>
      <w:commentRangeEnd w:id="32"/>
      <w:r w:rsidR="003E09D7">
        <w:rPr>
          <w:rStyle w:val="Refdecomentario"/>
        </w:rPr>
        <w:commentReference w:id="32"/>
      </w:r>
      <w:r w:rsidRPr="00CA6D94">
        <w:rPr>
          <w:rFonts w:eastAsia="Calibri"/>
          <w:lang w:val="en-US"/>
        </w:rPr>
        <w:t xml:space="preserve">Competition and Bank Efficiency in Emerging Markets: Empirical Evidence from Ghana. </w:t>
      </w:r>
      <w:r w:rsidRPr="00CA6D94">
        <w:rPr>
          <w:rFonts w:eastAsia="Calibri"/>
          <w:i/>
          <w:lang w:val="en-US"/>
        </w:rPr>
        <w:t>African Journal of Economic and Management Studies, 7</w:t>
      </w:r>
      <w:r w:rsidRPr="00CA6D94">
        <w:rPr>
          <w:rFonts w:eastAsia="Calibri"/>
          <w:lang w:val="en-US"/>
        </w:rPr>
        <w:t xml:space="preserve">(2), 268-288. </w:t>
      </w:r>
      <w:commentRangeStart w:id="33"/>
      <w:r w:rsidR="002A6545">
        <w:fldChar w:fldCharType="begin"/>
      </w:r>
      <w:r w:rsidR="002A6545" w:rsidRPr="00586DBF">
        <w:rPr>
          <w:lang w:val="en-US"/>
        </w:rPr>
        <w:instrText xml:space="preserve"> HYPERLINK "https://doi.org/10.1108/AJEMS-01-2014-0007" \t "_blank" </w:instrText>
      </w:r>
      <w:r w:rsidR="002A6545">
        <w:fldChar w:fldCharType="separate"/>
      </w:r>
      <w:r w:rsidRPr="00CA6D94">
        <w:rPr>
          <w:rFonts w:eastAsia="Calibri"/>
          <w:color w:val="0000FF"/>
          <w:u w:val="single"/>
          <w:lang w:val="en-US"/>
        </w:rPr>
        <w:t>https://doi.org/10.1108/AJEMS-01-2014-0007</w:t>
      </w:r>
      <w:r w:rsidR="002A6545">
        <w:rPr>
          <w:rFonts w:eastAsia="Calibri"/>
          <w:color w:val="0000FF"/>
          <w:u w:val="single"/>
          <w:lang w:val="en-US"/>
        </w:rPr>
        <w:fldChar w:fldCharType="end"/>
      </w:r>
      <w:commentRangeEnd w:id="33"/>
      <w:r w:rsidR="00E773F4">
        <w:rPr>
          <w:rStyle w:val="Refdecomentario"/>
        </w:rPr>
        <w:commentReference w:id="33"/>
      </w:r>
    </w:p>
    <w:p w:rsidR="004A29BD" w:rsidRPr="00CA6D94" w:rsidRDefault="004A29BD" w:rsidP="004A29BD">
      <w:pPr>
        <w:ind w:left="708" w:hanging="708"/>
        <w:jc w:val="both"/>
        <w:rPr>
          <w:rFonts w:eastAsia="Calibri"/>
          <w:lang w:val="en-US"/>
        </w:rPr>
      </w:pPr>
    </w:p>
    <w:p w:rsidR="004A29BD" w:rsidRPr="00CA6D94" w:rsidRDefault="004A29BD" w:rsidP="004A29BD">
      <w:pPr>
        <w:ind w:left="708" w:hanging="708"/>
        <w:jc w:val="both"/>
        <w:rPr>
          <w:rFonts w:eastAsia="Calibri"/>
          <w:lang w:val="en-US"/>
        </w:rPr>
      </w:pPr>
      <w:commentRangeStart w:id="34"/>
      <w:proofErr w:type="spellStart"/>
      <w:r w:rsidRPr="00CA6D94">
        <w:rPr>
          <w:rFonts w:eastAsia="Calibri"/>
          <w:lang w:val="en-US"/>
        </w:rPr>
        <w:t>Almanza</w:t>
      </w:r>
      <w:proofErr w:type="spellEnd"/>
      <w:r w:rsidRPr="00CA6D94">
        <w:rPr>
          <w:rFonts w:eastAsia="Calibri"/>
          <w:lang w:val="en-US"/>
        </w:rPr>
        <w:t xml:space="preserve">, C. (2012). </w:t>
      </w:r>
      <w:commentRangeEnd w:id="34"/>
      <w:r w:rsidR="003D3108">
        <w:rPr>
          <w:rStyle w:val="Refdecomentario"/>
        </w:rPr>
        <w:commentReference w:id="34"/>
      </w:r>
      <w:r w:rsidRPr="00CA6D94">
        <w:rPr>
          <w:rFonts w:eastAsia="Calibri"/>
          <w:lang w:val="en-US"/>
        </w:rPr>
        <w:t xml:space="preserve">Cost Efficiency in the Banking System in Colombia, 1999-2007: A Non-Parametric Approach. </w:t>
      </w:r>
      <w:proofErr w:type="spellStart"/>
      <w:r w:rsidRPr="00CA6D94">
        <w:rPr>
          <w:rFonts w:eastAsia="Calibri"/>
          <w:i/>
          <w:lang w:val="en-US"/>
        </w:rPr>
        <w:t>Innovar</w:t>
      </w:r>
      <w:proofErr w:type="spellEnd"/>
      <w:r w:rsidRPr="00CA6D94">
        <w:rPr>
          <w:rFonts w:eastAsia="Calibri"/>
          <w:i/>
          <w:lang w:val="en-US"/>
        </w:rPr>
        <w:t>, 22</w:t>
      </w:r>
      <w:r w:rsidRPr="00CA6D94">
        <w:rPr>
          <w:rFonts w:eastAsia="Calibri"/>
          <w:lang w:val="en-US"/>
        </w:rPr>
        <w:t>(44), 67-78.</w:t>
      </w:r>
    </w:p>
    <w:p w:rsidR="004A29BD" w:rsidRPr="003E09D7" w:rsidRDefault="004A29BD" w:rsidP="004A29BD">
      <w:pPr>
        <w:ind w:left="708" w:hanging="708"/>
        <w:jc w:val="both"/>
        <w:rPr>
          <w:rFonts w:eastAsia="Calibri"/>
          <w:lang w:val="es-CO"/>
        </w:rPr>
      </w:pPr>
      <w:commentRangeStart w:id="35"/>
      <w:proofErr w:type="gramStart"/>
      <w:r w:rsidRPr="003D3108">
        <w:rPr>
          <w:rFonts w:eastAsia="Calibri"/>
          <w:lang w:val="en-US"/>
        </w:rPr>
        <w:lastRenderedPageBreak/>
        <w:t>Andrade, S. (2005).</w:t>
      </w:r>
      <w:proofErr w:type="gramEnd"/>
      <w:r w:rsidRPr="003D3108">
        <w:rPr>
          <w:rFonts w:eastAsia="Calibri"/>
          <w:lang w:val="en-US"/>
        </w:rPr>
        <w:t xml:space="preserve"> </w:t>
      </w:r>
      <w:commentRangeEnd w:id="35"/>
      <w:r w:rsidR="003E09D7">
        <w:rPr>
          <w:rStyle w:val="Refdecomentario"/>
        </w:rPr>
        <w:commentReference w:id="35"/>
      </w:r>
      <w:r w:rsidRPr="00CA6D94">
        <w:rPr>
          <w:rFonts w:eastAsia="Calibri"/>
          <w:i/>
          <w:lang w:val="es-CO"/>
        </w:rPr>
        <w:t>Diccionario de economía</w:t>
      </w:r>
      <w:r w:rsidRPr="00CA6D94">
        <w:rPr>
          <w:rFonts w:eastAsia="Calibri"/>
          <w:lang w:val="es-CO"/>
        </w:rPr>
        <w:t xml:space="preserve">. </w:t>
      </w:r>
      <w:r w:rsidRPr="003E09D7">
        <w:rPr>
          <w:rFonts w:eastAsia="Calibri"/>
          <w:lang w:val="es-CO"/>
        </w:rPr>
        <w:t>Lima, Perú: Editorial Andrade.</w:t>
      </w:r>
    </w:p>
    <w:p w:rsidR="004A29BD" w:rsidRPr="003E09D7" w:rsidRDefault="004A29BD" w:rsidP="004A29BD">
      <w:pPr>
        <w:ind w:left="708" w:hanging="708"/>
        <w:jc w:val="both"/>
        <w:rPr>
          <w:rFonts w:eastAsia="Calibri"/>
          <w:b/>
          <w:lang w:val="es-CO"/>
        </w:rPr>
      </w:pPr>
    </w:p>
    <w:p w:rsidR="004A29BD" w:rsidRPr="00CA6D94" w:rsidRDefault="004A29BD" w:rsidP="004A29BD">
      <w:pPr>
        <w:autoSpaceDE w:val="0"/>
        <w:autoSpaceDN w:val="0"/>
        <w:adjustRightInd w:val="0"/>
        <w:ind w:left="708" w:hanging="708"/>
        <w:jc w:val="both"/>
        <w:rPr>
          <w:rFonts w:eastAsia="Calibri"/>
          <w:lang w:val="en-US" w:eastAsia="en-US"/>
        </w:rPr>
      </w:pPr>
      <w:commentRangeStart w:id="36"/>
      <w:proofErr w:type="gramStart"/>
      <w:r w:rsidRPr="00CA6D94">
        <w:rPr>
          <w:rFonts w:eastAsia="Calibri"/>
          <w:lang w:val="en-US" w:eastAsia="en-US"/>
        </w:rPr>
        <w:t xml:space="preserve">Banker, R. D., </w:t>
      </w:r>
      <w:proofErr w:type="spellStart"/>
      <w:r w:rsidRPr="00CA6D94">
        <w:rPr>
          <w:rFonts w:eastAsia="Calibri"/>
          <w:lang w:val="en-US" w:eastAsia="en-US"/>
        </w:rPr>
        <w:t>Charnes</w:t>
      </w:r>
      <w:proofErr w:type="spellEnd"/>
      <w:r w:rsidRPr="00CA6D94">
        <w:rPr>
          <w:rFonts w:eastAsia="Calibri"/>
          <w:lang w:val="en-US" w:eastAsia="en-US"/>
        </w:rPr>
        <w:t>, A. &amp; Cooper, W. (1984).</w:t>
      </w:r>
      <w:proofErr w:type="gramEnd"/>
      <w:r w:rsidRPr="00CA6D94">
        <w:rPr>
          <w:rFonts w:eastAsia="Calibri"/>
          <w:lang w:val="en-US" w:eastAsia="en-US"/>
        </w:rPr>
        <w:t xml:space="preserve"> </w:t>
      </w:r>
      <w:commentRangeEnd w:id="36"/>
      <w:r w:rsidR="003D3108">
        <w:rPr>
          <w:rStyle w:val="Refdecomentario"/>
        </w:rPr>
        <w:commentReference w:id="36"/>
      </w:r>
      <w:proofErr w:type="gramStart"/>
      <w:r w:rsidRPr="00CA6D94">
        <w:rPr>
          <w:rFonts w:eastAsia="Calibri"/>
          <w:lang w:val="en-US" w:eastAsia="en-US"/>
        </w:rPr>
        <w:t>Some Models for the Estimation of Technical and Scale Efficiencies in Data Envelopment Analysis.</w:t>
      </w:r>
      <w:proofErr w:type="gramEnd"/>
      <w:r w:rsidRPr="00CA6D94">
        <w:rPr>
          <w:rFonts w:eastAsia="Calibri"/>
          <w:lang w:val="en-US" w:eastAsia="en-US"/>
        </w:rPr>
        <w:t xml:space="preserve"> </w:t>
      </w:r>
      <w:r w:rsidRPr="00CA6D94">
        <w:rPr>
          <w:rFonts w:eastAsia="Calibri"/>
          <w:i/>
          <w:lang w:val="en-US" w:eastAsia="en-US"/>
        </w:rPr>
        <w:t>Management Science, 30</w:t>
      </w:r>
      <w:r w:rsidRPr="00CA6D94">
        <w:rPr>
          <w:rFonts w:eastAsia="Calibri"/>
          <w:lang w:val="en-US" w:eastAsia="en-US"/>
        </w:rPr>
        <w:t xml:space="preserve">(9), 1078-1092. </w:t>
      </w:r>
      <w:hyperlink r:id="rId12" w:tgtFrame="_blank" w:history="1">
        <w:r w:rsidRPr="00CA6D94">
          <w:rPr>
            <w:rFonts w:eastAsia="Calibri"/>
            <w:color w:val="0000FF"/>
            <w:u w:val="single"/>
            <w:lang w:val="en-US"/>
          </w:rPr>
          <w:t>https://doi.org/10.1287/mnsc.30.9.1078</w:t>
        </w:r>
      </w:hyperlink>
    </w:p>
    <w:p w:rsidR="004A29BD" w:rsidRPr="00CA6D94" w:rsidRDefault="004A29BD" w:rsidP="004A29BD">
      <w:pPr>
        <w:autoSpaceDE w:val="0"/>
        <w:autoSpaceDN w:val="0"/>
        <w:adjustRightInd w:val="0"/>
        <w:ind w:left="708" w:hanging="708"/>
        <w:jc w:val="both"/>
        <w:rPr>
          <w:rFonts w:eastAsia="Calibri"/>
          <w:lang w:val="en-US" w:eastAsia="en-US"/>
        </w:rPr>
      </w:pPr>
    </w:p>
    <w:p w:rsidR="004A29BD" w:rsidRPr="00CA6D94" w:rsidRDefault="004A29BD" w:rsidP="004A29BD">
      <w:pPr>
        <w:autoSpaceDE w:val="0"/>
        <w:autoSpaceDN w:val="0"/>
        <w:adjustRightInd w:val="0"/>
        <w:ind w:left="708" w:hanging="708"/>
        <w:jc w:val="both"/>
        <w:rPr>
          <w:rFonts w:eastAsia="Calibri"/>
          <w:lang w:val="en-US" w:eastAsia="en-US"/>
        </w:rPr>
      </w:pPr>
      <w:commentRangeStart w:id="37"/>
      <w:proofErr w:type="spellStart"/>
      <w:proofErr w:type="gramStart"/>
      <w:r w:rsidRPr="00CA6D94">
        <w:rPr>
          <w:rFonts w:eastAsia="Calibri"/>
          <w:lang w:val="en-US" w:eastAsia="en-US"/>
        </w:rPr>
        <w:t>Cayón</w:t>
      </w:r>
      <w:proofErr w:type="spellEnd"/>
      <w:r w:rsidRPr="00CA6D94">
        <w:rPr>
          <w:rFonts w:eastAsia="Calibri"/>
          <w:lang w:val="en-US" w:eastAsia="en-US"/>
        </w:rPr>
        <w:t>, E. &amp; Sarmiento, J. (2011).</w:t>
      </w:r>
      <w:commentRangeEnd w:id="37"/>
      <w:proofErr w:type="gramEnd"/>
      <w:r w:rsidR="003D3108">
        <w:rPr>
          <w:rStyle w:val="Refdecomentario"/>
        </w:rPr>
        <w:commentReference w:id="37"/>
      </w:r>
      <w:r w:rsidRPr="00CA6D94">
        <w:rPr>
          <w:rFonts w:eastAsia="Calibri"/>
          <w:lang w:val="en-US" w:eastAsia="en-US"/>
        </w:rPr>
        <w:t xml:space="preserve"> </w:t>
      </w:r>
      <w:proofErr w:type="gramStart"/>
      <w:r w:rsidRPr="00CA6D94">
        <w:rPr>
          <w:rFonts w:eastAsia="Calibri"/>
          <w:lang w:val="en-US" w:eastAsia="en-US"/>
        </w:rPr>
        <w:t>Measuring Relative Efficiencies in the Shoe Industry Sector in Colombia: A DEA Approach.</w:t>
      </w:r>
      <w:proofErr w:type="gramEnd"/>
      <w:r w:rsidRPr="00CA6D94">
        <w:rPr>
          <w:rFonts w:eastAsia="Calibri"/>
          <w:lang w:val="en-US" w:eastAsia="en-US"/>
        </w:rPr>
        <w:t xml:space="preserve"> </w:t>
      </w:r>
      <w:proofErr w:type="spellStart"/>
      <w:r w:rsidRPr="00CA6D94">
        <w:rPr>
          <w:rFonts w:eastAsia="Calibri"/>
          <w:i/>
          <w:lang w:val="en-US" w:eastAsia="en-US"/>
        </w:rPr>
        <w:t>Pensamiento</w:t>
      </w:r>
      <w:proofErr w:type="spellEnd"/>
      <w:r w:rsidRPr="00CA6D94">
        <w:rPr>
          <w:rFonts w:eastAsia="Calibri"/>
          <w:i/>
          <w:lang w:val="en-US" w:eastAsia="en-US"/>
        </w:rPr>
        <w:t xml:space="preserve"> &amp; </w:t>
      </w:r>
      <w:proofErr w:type="spellStart"/>
      <w:r w:rsidRPr="00CA6D94">
        <w:rPr>
          <w:rFonts w:eastAsia="Calibri"/>
          <w:i/>
          <w:lang w:val="en-US" w:eastAsia="en-US"/>
        </w:rPr>
        <w:t>Gestión</w:t>
      </w:r>
      <w:proofErr w:type="spellEnd"/>
      <w:r w:rsidRPr="00CA6D94">
        <w:rPr>
          <w:rFonts w:eastAsia="Calibri"/>
          <w:i/>
          <w:lang w:val="en-US" w:eastAsia="en-US"/>
        </w:rPr>
        <w:t>,</w:t>
      </w:r>
      <w:r w:rsidRPr="00CA6D94">
        <w:rPr>
          <w:rFonts w:eastAsia="Calibri"/>
          <w:lang w:val="en-US" w:eastAsia="en-US"/>
        </w:rPr>
        <w:t xml:space="preserve"> (30), 186-205. </w:t>
      </w:r>
      <w:proofErr w:type="gramStart"/>
      <w:r w:rsidRPr="00CA6D94">
        <w:rPr>
          <w:rFonts w:eastAsia="Calibri"/>
          <w:lang w:val="en-US" w:eastAsia="en-US"/>
        </w:rPr>
        <w:t xml:space="preserve">Retrieved July 29, 2016, from </w:t>
      </w:r>
      <w:hyperlink r:id="rId13" w:history="1">
        <w:r w:rsidRPr="00CA6D94">
          <w:rPr>
            <w:rFonts w:eastAsia="Calibri"/>
            <w:lang w:val="en-US" w:eastAsia="en-US"/>
          </w:rPr>
          <w:t>http://www.scielo.org.co/scielo.php?script=sci_arttext&amp;pid=S1657-62762011000100010&amp;lng=en&amp;tlng=en</w:t>
        </w:r>
      </w:hyperlink>
      <w:r w:rsidRPr="00CA6D94">
        <w:rPr>
          <w:rFonts w:eastAsia="Calibri"/>
          <w:lang w:val="en-US" w:eastAsia="en-US"/>
        </w:rPr>
        <w:t>.</w:t>
      </w:r>
      <w:proofErr w:type="gramEnd"/>
    </w:p>
    <w:p w:rsidR="004A29BD" w:rsidRPr="00CA6D94" w:rsidRDefault="004A29BD" w:rsidP="004A29BD">
      <w:pPr>
        <w:autoSpaceDE w:val="0"/>
        <w:autoSpaceDN w:val="0"/>
        <w:adjustRightInd w:val="0"/>
        <w:ind w:left="708" w:hanging="708"/>
        <w:jc w:val="both"/>
        <w:rPr>
          <w:rFonts w:eastAsia="Calibri"/>
          <w:lang w:val="en-US" w:eastAsia="en-US"/>
        </w:rPr>
      </w:pPr>
    </w:p>
    <w:p w:rsidR="004A29BD" w:rsidRPr="00CA6D94" w:rsidRDefault="004A29BD" w:rsidP="004A29BD">
      <w:pPr>
        <w:autoSpaceDE w:val="0"/>
        <w:autoSpaceDN w:val="0"/>
        <w:adjustRightInd w:val="0"/>
        <w:ind w:left="708" w:hanging="708"/>
        <w:jc w:val="both"/>
        <w:rPr>
          <w:rFonts w:eastAsia="Calibri"/>
          <w:lang w:val="en-US" w:eastAsia="en-US"/>
        </w:rPr>
      </w:pPr>
      <w:commentRangeStart w:id="38"/>
      <w:proofErr w:type="spellStart"/>
      <w:r w:rsidRPr="00CA6D94">
        <w:rPr>
          <w:rFonts w:eastAsia="Calibri"/>
          <w:lang w:val="en-US" w:eastAsia="en-US"/>
        </w:rPr>
        <w:t>Charnes</w:t>
      </w:r>
      <w:proofErr w:type="spellEnd"/>
      <w:r w:rsidRPr="00CA6D94">
        <w:rPr>
          <w:rFonts w:eastAsia="Calibri"/>
          <w:lang w:val="en-US" w:eastAsia="en-US"/>
        </w:rPr>
        <w:t>, A., Cooper, W</w:t>
      </w:r>
      <w:proofErr w:type="gramStart"/>
      <w:r w:rsidRPr="00CA6D94">
        <w:rPr>
          <w:rFonts w:eastAsia="Calibri"/>
          <w:lang w:val="en-US" w:eastAsia="en-US"/>
        </w:rPr>
        <w:t>. ,</w:t>
      </w:r>
      <w:proofErr w:type="gramEnd"/>
      <w:r w:rsidRPr="00CA6D94">
        <w:rPr>
          <w:rFonts w:eastAsia="Calibri"/>
          <w:lang w:val="en-US" w:eastAsia="en-US"/>
        </w:rPr>
        <w:t xml:space="preserve"> </w:t>
      </w:r>
      <w:proofErr w:type="spellStart"/>
      <w:r w:rsidRPr="00CA6D94">
        <w:rPr>
          <w:rFonts w:eastAsia="Calibri"/>
          <w:lang w:val="en-US" w:eastAsia="en-US"/>
        </w:rPr>
        <w:t>Golany</w:t>
      </w:r>
      <w:proofErr w:type="spellEnd"/>
      <w:r w:rsidRPr="00CA6D94">
        <w:rPr>
          <w:rFonts w:eastAsia="Calibri"/>
          <w:lang w:val="en-US" w:eastAsia="en-US"/>
        </w:rPr>
        <w:t xml:space="preserve">, B., </w:t>
      </w:r>
      <w:proofErr w:type="spellStart"/>
      <w:r w:rsidRPr="00CA6D94">
        <w:rPr>
          <w:rFonts w:eastAsia="Calibri"/>
          <w:lang w:val="en-US" w:eastAsia="en-US"/>
        </w:rPr>
        <w:t>Seiford</w:t>
      </w:r>
      <w:proofErr w:type="spellEnd"/>
      <w:r w:rsidRPr="00CA6D94">
        <w:rPr>
          <w:rFonts w:eastAsia="Calibri"/>
          <w:lang w:val="en-US" w:eastAsia="en-US"/>
        </w:rPr>
        <w:t>, L. &amp; Stutz</w:t>
      </w:r>
      <w:r w:rsidR="003D3108">
        <w:rPr>
          <w:rFonts w:eastAsia="Calibri"/>
          <w:lang w:val="en-US" w:eastAsia="en-US"/>
        </w:rPr>
        <w:t>,</w:t>
      </w:r>
      <w:r w:rsidRPr="00CA6D94">
        <w:rPr>
          <w:rFonts w:eastAsia="Calibri"/>
          <w:lang w:val="en-US" w:eastAsia="en-US"/>
        </w:rPr>
        <w:t xml:space="preserve"> </w:t>
      </w:r>
      <w:r w:rsidR="003D3108" w:rsidRPr="00CA6D94">
        <w:rPr>
          <w:rFonts w:eastAsia="Calibri"/>
          <w:lang w:val="en-US" w:eastAsia="en-US"/>
        </w:rPr>
        <w:t xml:space="preserve">J. </w:t>
      </w:r>
      <w:r w:rsidRPr="00CA6D94">
        <w:rPr>
          <w:rFonts w:eastAsia="Calibri"/>
          <w:lang w:val="en-US" w:eastAsia="en-US"/>
        </w:rPr>
        <w:t xml:space="preserve">(1984). </w:t>
      </w:r>
      <w:commentRangeEnd w:id="38"/>
      <w:r w:rsidR="003D3108">
        <w:rPr>
          <w:rStyle w:val="Refdecomentario"/>
        </w:rPr>
        <w:commentReference w:id="38"/>
      </w:r>
      <w:proofErr w:type="gramStart"/>
      <w:r w:rsidRPr="00CA6D94">
        <w:rPr>
          <w:rFonts w:eastAsia="Calibri"/>
          <w:lang w:val="en-US" w:eastAsia="en-US"/>
        </w:rPr>
        <w:t>Foundations of Data Envelopment Analysis for Pareto-Koopmans Efficient Empirical Production Functions.</w:t>
      </w:r>
      <w:proofErr w:type="gramEnd"/>
      <w:r w:rsidRPr="00CA6D94">
        <w:rPr>
          <w:rFonts w:eastAsia="Calibri"/>
          <w:lang w:val="en-US" w:eastAsia="en-US"/>
        </w:rPr>
        <w:t xml:space="preserve"> In </w:t>
      </w:r>
      <w:r w:rsidRPr="00CA6D94">
        <w:rPr>
          <w:rFonts w:eastAsia="Calibri"/>
          <w:i/>
          <w:lang w:val="en-US" w:eastAsia="en-US"/>
        </w:rPr>
        <w:t>CCS Research Report 504</w:t>
      </w:r>
      <w:r w:rsidRPr="00CA6D94">
        <w:rPr>
          <w:rFonts w:eastAsia="Calibri"/>
          <w:lang w:val="en-US" w:eastAsia="en-US"/>
        </w:rPr>
        <w:t xml:space="preserve"> (pp. 1-28). Austin, TX: Center for Cybernetic Studies, </w:t>
      </w:r>
      <w:proofErr w:type="gramStart"/>
      <w:r w:rsidRPr="00CA6D94">
        <w:rPr>
          <w:rFonts w:eastAsia="Calibri"/>
          <w:lang w:val="en-US" w:eastAsia="en-US"/>
        </w:rPr>
        <w:t>The</w:t>
      </w:r>
      <w:proofErr w:type="gramEnd"/>
      <w:r w:rsidRPr="00CA6D94">
        <w:rPr>
          <w:rFonts w:eastAsia="Calibri"/>
          <w:lang w:val="en-US" w:eastAsia="en-US"/>
        </w:rPr>
        <w:t xml:space="preserve"> University of Texas at Austin.</w:t>
      </w:r>
    </w:p>
    <w:p w:rsidR="004A29BD" w:rsidRPr="00CA6D94" w:rsidRDefault="004A29BD" w:rsidP="004A29BD">
      <w:pPr>
        <w:autoSpaceDE w:val="0"/>
        <w:autoSpaceDN w:val="0"/>
        <w:adjustRightInd w:val="0"/>
        <w:ind w:left="708" w:hanging="708"/>
        <w:jc w:val="both"/>
        <w:rPr>
          <w:rFonts w:eastAsia="Calibri"/>
          <w:lang w:val="en-US" w:eastAsia="en-US"/>
        </w:rPr>
      </w:pPr>
      <w:r w:rsidRPr="00CA6D94">
        <w:rPr>
          <w:rFonts w:eastAsia="Calibri"/>
          <w:lang w:val="en-US" w:eastAsia="en-US"/>
        </w:rPr>
        <w:t xml:space="preserve"> </w:t>
      </w:r>
    </w:p>
    <w:p w:rsidR="004A29BD" w:rsidRPr="00CA6D94" w:rsidRDefault="003D3108" w:rsidP="004A29BD">
      <w:pPr>
        <w:autoSpaceDE w:val="0"/>
        <w:autoSpaceDN w:val="0"/>
        <w:adjustRightInd w:val="0"/>
        <w:ind w:left="708" w:hanging="708"/>
        <w:jc w:val="both"/>
        <w:rPr>
          <w:rFonts w:eastAsia="Calibri"/>
          <w:lang w:val="en-US" w:eastAsia="en-US"/>
        </w:rPr>
      </w:pPr>
      <w:commentRangeStart w:id="39"/>
      <w:proofErr w:type="spellStart"/>
      <w:proofErr w:type="gramStart"/>
      <w:r>
        <w:rPr>
          <w:rFonts w:eastAsia="Calibri"/>
          <w:lang w:val="en-US" w:eastAsia="en-US"/>
        </w:rPr>
        <w:t>Charnes</w:t>
      </w:r>
      <w:proofErr w:type="spellEnd"/>
      <w:r>
        <w:rPr>
          <w:rFonts w:eastAsia="Calibri"/>
          <w:lang w:val="en-US" w:eastAsia="en-US"/>
        </w:rPr>
        <w:t>, A., Cooper, W.</w:t>
      </w:r>
      <w:r w:rsidR="004A29BD" w:rsidRPr="00CA6D94">
        <w:rPr>
          <w:rFonts w:eastAsia="Calibri"/>
          <w:lang w:val="en-US" w:eastAsia="en-US"/>
        </w:rPr>
        <w:t xml:space="preserve">, </w:t>
      </w:r>
      <w:proofErr w:type="spellStart"/>
      <w:r w:rsidR="004A29BD" w:rsidRPr="00CA6D94">
        <w:rPr>
          <w:rFonts w:eastAsia="Calibri"/>
          <w:lang w:val="en-US" w:eastAsia="en-US"/>
        </w:rPr>
        <w:t>Lewin</w:t>
      </w:r>
      <w:proofErr w:type="spellEnd"/>
      <w:r w:rsidR="004A29BD" w:rsidRPr="00CA6D94">
        <w:rPr>
          <w:rFonts w:eastAsia="Calibri"/>
          <w:lang w:val="en-US" w:eastAsia="en-US"/>
        </w:rPr>
        <w:t>, A.</w:t>
      </w:r>
      <w:proofErr w:type="gramEnd"/>
      <w:r w:rsidR="004A29BD" w:rsidRPr="00CA6D94">
        <w:rPr>
          <w:rFonts w:eastAsia="Calibri"/>
          <w:lang w:val="en-US" w:eastAsia="en-US"/>
        </w:rPr>
        <w:t xml:space="preserve">  </w:t>
      </w:r>
      <w:proofErr w:type="gramStart"/>
      <w:r w:rsidR="004A29BD" w:rsidRPr="00CA6D94">
        <w:rPr>
          <w:rFonts w:eastAsia="Calibri"/>
          <w:lang w:val="en-US" w:eastAsia="en-US"/>
        </w:rPr>
        <w:t xml:space="preserve">&amp; </w:t>
      </w:r>
      <w:proofErr w:type="spellStart"/>
      <w:r w:rsidR="004A29BD" w:rsidRPr="00CA6D94">
        <w:rPr>
          <w:rFonts w:eastAsia="Calibri"/>
          <w:lang w:val="en-US" w:eastAsia="en-US"/>
        </w:rPr>
        <w:t>Seiford</w:t>
      </w:r>
      <w:proofErr w:type="spellEnd"/>
      <w:r w:rsidR="004A29BD" w:rsidRPr="00CA6D94">
        <w:rPr>
          <w:rFonts w:eastAsia="Calibri"/>
          <w:lang w:val="en-US" w:eastAsia="en-US"/>
        </w:rPr>
        <w:t>, M. (1994).</w:t>
      </w:r>
      <w:proofErr w:type="gramEnd"/>
      <w:r>
        <w:rPr>
          <w:rFonts w:eastAsia="Calibri"/>
          <w:lang w:val="en-US" w:eastAsia="en-US"/>
        </w:rPr>
        <w:t xml:space="preserve"> </w:t>
      </w:r>
      <w:commentRangeEnd w:id="39"/>
      <w:r>
        <w:rPr>
          <w:rStyle w:val="Refdecomentario"/>
        </w:rPr>
        <w:commentReference w:id="39"/>
      </w:r>
      <w:r w:rsidR="004A29BD" w:rsidRPr="00CA6D94">
        <w:rPr>
          <w:rFonts w:eastAsia="Calibri"/>
          <w:i/>
          <w:lang w:val="en-US" w:eastAsia="en-US"/>
        </w:rPr>
        <w:t xml:space="preserve">Data Envelopment Analysis: Theory, </w:t>
      </w:r>
      <w:proofErr w:type="spellStart"/>
      <w:r w:rsidR="004A29BD" w:rsidRPr="00CA6D94">
        <w:rPr>
          <w:rFonts w:eastAsia="Calibri"/>
          <w:i/>
          <w:lang w:val="en-US" w:eastAsia="en-US"/>
        </w:rPr>
        <w:t>Metrodology</w:t>
      </w:r>
      <w:proofErr w:type="spellEnd"/>
      <w:r w:rsidR="004A29BD" w:rsidRPr="00CA6D94">
        <w:rPr>
          <w:rFonts w:eastAsia="Calibri"/>
          <w:i/>
          <w:lang w:val="en-US" w:eastAsia="en-US"/>
        </w:rPr>
        <w:t>, and Application</w:t>
      </w:r>
      <w:r w:rsidR="004A29BD" w:rsidRPr="00CA6D94">
        <w:rPr>
          <w:rFonts w:eastAsia="Calibri"/>
          <w:lang w:val="en-US" w:eastAsia="en-US"/>
        </w:rPr>
        <w:t xml:space="preserve">. Boston: </w:t>
      </w:r>
      <w:proofErr w:type="spellStart"/>
      <w:r w:rsidR="004A29BD" w:rsidRPr="00CA6D94">
        <w:rPr>
          <w:rFonts w:eastAsia="Calibri"/>
          <w:lang w:val="en-US" w:eastAsia="en-US"/>
        </w:rPr>
        <w:t>Kluwe</w:t>
      </w:r>
      <w:proofErr w:type="spellEnd"/>
      <w:r w:rsidR="004A29BD" w:rsidRPr="00CA6D94">
        <w:rPr>
          <w:rFonts w:eastAsia="Calibri"/>
          <w:lang w:val="en-US" w:eastAsia="en-US"/>
        </w:rPr>
        <w:t xml:space="preserve"> Academic </w:t>
      </w:r>
      <w:proofErr w:type="spellStart"/>
      <w:r w:rsidR="004A29BD" w:rsidRPr="00CA6D94">
        <w:rPr>
          <w:rFonts w:eastAsia="Calibri"/>
          <w:lang w:val="en-US" w:eastAsia="en-US"/>
        </w:rPr>
        <w:t>Publishiers</w:t>
      </w:r>
      <w:proofErr w:type="spellEnd"/>
      <w:r w:rsidR="004A29BD" w:rsidRPr="00CA6D94">
        <w:rPr>
          <w:rFonts w:eastAsia="Calibri"/>
          <w:lang w:val="en-US" w:eastAsia="en-US"/>
        </w:rPr>
        <w:t xml:space="preserve">. </w:t>
      </w:r>
      <w:hyperlink r:id="rId14" w:tgtFrame="_blank" w:history="1">
        <w:r w:rsidR="004A29BD" w:rsidRPr="00CA6D94">
          <w:rPr>
            <w:rFonts w:eastAsia="Calibri"/>
            <w:color w:val="0000FF"/>
            <w:u w:val="single"/>
            <w:lang w:val="en-US"/>
          </w:rPr>
          <w:t>https://doi.org/10.1007/978-94-011-0637-5</w:t>
        </w:r>
      </w:hyperlink>
    </w:p>
    <w:p w:rsidR="004A29BD" w:rsidRPr="00CA6D94" w:rsidRDefault="004A29BD" w:rsidP="004A29BD">
      <w:pPr>
        <w:autoSpaceDE w:val="0"/>
        <w:autoSpaceDN w:val="0"/>
        <w:adjustRightInd w:val="0"/>
        <w:ind w:left="708" w:hanging="708"/>
        <w:jc w:val="both"/>
        <w:rPr>
          <w:rFonts w:eastAsia="Calibri"/>
          <w:lang w:val="en-US" w:eastAsia="en-US"/>
        </w:rPr>
      </w:pPr>
    </w:p>
    <w:p w:rsidR="004A29BD" w:rsidRPr="00CA6D94" w:rsidRDefault="004A29BD" w:rsidP="004A29BD">
      <w:pPr>
        <w:autoSpaceDE w:val="0"/>
        <w:autoSpaceDN w:val="0"/>
        <w:adjustRightInd w:val="0"/>
        <w:ind w:left="708" w:hanging="708"/>
        <w:jc w:val="both"/>
        <w:rPr>
          <w:rFonts w:eastAsia="Calibri"/>
          <w:lang w:val="es-CO" w:eastAsia="en-US"/>
        </w:rPr>
      </w:pPr>
      <w:commentRangeStart w:id="40"/>
      <w:proofErr w:type="spellStart"/>
      <w:r w:rsidRPr="00CA6D94">
        <w:rPr>
          <w:rFonts w:eastAsia="Calibri"/>
          <w:lang w:val="en-US" w:eastAsia="en-US"/>
        </w:rPr>
        <w:t>Chiavenato</w:t>
      </w:r>
      <w:proofErr w:type="spellEnd"/>
      <w:r w:rsidRPr="00CA6D94">
        <w:rPr>
          <w:rFonts w:eastAsia="Calibri"/>
          <w:lang w:val="en-US" w:eastAsia="en-US"/>
        </w:rPr>
        <w:t xml:space="preserve">, I. (2004). </w:t>
      </w:r>
      <w:commentRangeEnd w:id="40"/>
      <w:r w:rsidR="003D3108">
        <w:rPr>
          <w:rStyle w:val="Refdecomentario"/>
        </w:rPr>
        <w:commentReference w:id="40"/>
      </w:r>
      <w:r w:rsidRPr="00CA6D94">
        <w:rPr>
          <w:rFonts w:eastAsia="Calibri"/>
          <w:i/>
          <w:lang w:val="es-CO" w:eastAsia="en-US"/>
        </w:rPr>
        <w:t>Introducción a la teoría general de la administración</w:t>
      </w:r>
      <w:r w:rsidRPr="00CA6D94">
        <w:rPr>
          <w:rFonts w:eastAsia="Calibri"/>
          <w:lang w:val="es-CO" w:eastAsia="en-US"/>
        </w:rPr>
        <w:t xml:space="preserve"> (7 ed.). México: McGraw-Hill Interamericana. </w:t>
      </w:r>
    </w:p>
    <w:p w:rsidR="004A29BD" w:rsidRPr="00CA6D94" w:rsidRDefault="004A29BD" w:rsidP="004A29BD">
      <w:pPr>
        <w:autoSpaceDE w:val="0"/>
        <w:autoSpaceDN w:val="0"/>
        <w:adjustRightInd w:val="0"/>
        <w:ind w:left="708" w:hanging="708"/>
        <w:jc w:val="both"/>
        <w:rPr>
          <w:rFonts w:eastAsia="Calibri"/>
          <w:lang w:val="es-CO" w:eastAsia="en-US"/>
        </w:rPr>
      </w:pPr>
    </w:p>
    <w:p w:rsidR="004A29BD" w:rsidRPr="00CA6D94" w:rsidRDefault="004A29BD" w:rsidP="004A29BD">
      <w:pPr>
        <w:autoSpaceDE w:val="0"/>
        <w:autoSpaceDN w:val="0"/>
        <w:adjustRightInd w:val="0"/>
        <w:ind w:left="708" w:hanging="708"/>
        <w:jc w:val="both"/>
        <w:rPr>
          <w:rFonts w:eastAsia="Calibri"/>
          <w:lang w:val="en-US" w:eastAsia="en-US"/>
        </w:rPr>
      </w:pPr>
      <w:commentRangeStart w:id="41"/>
      <w:r w:rsidRPr="00CA6D94">
        <w:rPr>
          <w:rFonts w:eastAsia="Calibri"/>
          <w:lang w:val="es-CO" w:eastAsia="en-US"/>
        </w:rPr>
        <w:t xml:space="preserve">De Oliveira, R. (2002). </w:t>
      </w:r>
      <w:commentRangeEnd w:id="41"/>
      <w:r w:rsidR="00E773F4">
        <w:rPr>
          <w:rStyle w:val="Refdecomentario"/>
        </w:rPr>
        <w:commentReference w:id="41"/>
      </w:r>
      <w:r w:rsidRPr="00CA6D94">
        <w:rPr>
          <w:rFonts w:eastAsia="Calibri"/>
          <w:i/>
          <w:lang w:val="es-CO" w:eastAsia="en-US"/>
        </w:rPr>
        <w:t>Teorías de la administración</w:t>
      </w:r>
      <w:r w:rsidRPr="00CA6D94">
        <w:rPr>
          <w:rFonts w:eastAsia="Calibri"/>
          <w:lang w:val="es-CO" w:eastAsia="en-US"/>
        </w:rPr>
        <w:t xml:space="preserve">. </w:t>
      </w:r>
      <w:r w:rsidRPr="00CA6D94">
        <w:rPr>
          <w:rFonts w:eastAsia="Calibri"/>
          <w:lang w:val="en-US" w:eastAsia="en-US"/>
        </w:rPr>
        <w:t>México: International Thomson.</w:t>
      </w:r>
    </w:p>
    <w:p w:rsidR="004A29BD" w:rsidRPr="00CA6D94" w:rsidRDefault="004A29BD" w:rsidP="004A29BD">
      <w:pPr>
        <w:autoSpaceDE w:val="0"/>
        <w:autoSpaceDN w:val="0"/>
        <w:adjustRightInd w:val="0"/>
        <w:ind w:left="708" w:hanging="708"/>
        <w:jc w:val="both"/>
        <w:rPr>
          <w:rFonts w:eastAsia="Calibri"/>
          <w:lang w:val="en-US" w:eastAsia="en-US"/>
        </w:rPr>
      </w:pPr>
    </w:p>
    <w:p w:rsidR="004A29BD" w:rsidRPr="00CA6D94" w:rsidRDefault="004A29BD" w:rsidP="004A29BD">
      <w:pPr>
        <w:autoSpaceDE w:val="0"/>
        <w:autoSpaceDN w:val="0"/>
        <w:adjustRightInd w:val="0"/>
        <w:ind w:left="708" w:hanging="708"/>
        <w:jc w:val="both"/>
        <w:rPr>
          <w:rFonts w:eastAsia="Calibri"/>
          <w:lang w:val="en-US" w:eastAsia="en-US"/>
        </w:rPr>
      </w:pPr>
      <w:commentRangeStart w:id="42"/>
      <w:proofErr w:type="gramStart"/>
      <w:r w:rsidRPr="00CA6D94">
        <w:rPr>
          <w:rFonts w:eastAsia="Calibri"/>
          <w:lang w:val="en-US" w:eastAsia="en-US"/>
        </w:rPr>
        <w:t>Hahn, F. (2009).</w:t>
      </w:r>
      <w:proofErr w:type="gramEnd"/>
      <w:r w:rsidRPr="00CA6D94">
        <w:rPr>
          <w:rFonts w:eastAsia="Calibri"/>
          <w:lang w:val="en-US" w:eastAsia="en-US"/>
        </w:rPr>
        <w:t xml:space="preserve"> </w:t>
      </w:r>
      <w:commentRangeEnd w:id="42"/>
      <w:r w:rsidR="009B51B5">
        <w:rPr>
          <w:rStyle w:val="Refdecomentario"/>
        </w:rPr>
        <w:commentReference w:id="42"/>
      </w:r>
      <w:proofErr w:type="gramStart"/>
      <w:r w:rsidRPr="00CA6D94">
        <w:rPr>
          <w:rFonts w:eastAsia="Calibri"/>
          <w:lang w:val="en-US" w:eastAsia="en-US"/>
        </w:rPr>
        <w:t>A Note on Management Efficiency and International Banking.</w:t>
      </w:r>
      <w:proofErr w:type="gramEnd"/>
      <w:r w:rsidRPr="00CA6D94">
        <w:rPr>
          <w:rFonts w:eastAsia="Calibri"/>
          <w:lang w:val="en-US" w:eastAsia="en-US"/>
        </w:rPr>
        <w:t xml:space="preserve"> </w:t>
      </w:r>
      <w:proofErr w:type="gramStart"/>
      <w:r w:rsidRPr="00CA6D94">
        <w:rPr>
          <w:rFonts w:eastAsia="Calibri"/>
          <w:lang w:val="en-US" w:eastAsia="en-US"/>
        </w:rPr>
        <w:t>Some Empirical Panel Evidence.</w:t>
      </w:r>
      <w:proofErr w:type="gramEnd"/>
      <w:r w:rsidRPr="00CA6D94">
        <w:rPr>
          <w:rFonts w:eastAsia="Calibri"/>
          <w:lang w:val="en-US" w:eastAsia="en-US"/>
        </w:rPr>
        <w:t xml:space="preserve"> </w:t>
      </w:r>
      <w:r w:rsidRPr="00CA6D94">
        <w:rPr>
          <w:rFonts w:eastAsia="Calibri"/>
          <w:i/>
          <w:lang w:val="en-US" w:eastAsia="en-US"/>
        </w:rPr>
        <w:t xml:space="preserve">Journal of Applied </w:t>
      </w:r>
      <w:proofErr w:type="gramStart"/>
      <w:r w:rsidRPr="00CA6D94">
        <w:rPr>
          <w:rFonts w:eastAsia="Calibri"/>
          <w:i/>
          <w:lang w:val="en-US" w:eastAsia="en-US"/>
        </w:rPr>
        <w:t>Economics.,</w:t>
      </w:r>
      <w:proofErr w:type="gramEnd"/>
      <w:r w:rsidRPr="00CA6D94">
        <w:rPr>
          <w:rFonts w:eastAsia="Calibri"/>
          <w:i/>
          <w:lang w:val="en-US" w:eastAsia="en-US"/>
        </w:rPr>
        <w:t xml:space="preserve"> 12</w:t>
      </w:r>
      <w:r w:rsidRPr="00CA6D94">
        <w:rPr>
          <w:rFonts w:eastAsia="Calibri"/>
          <w:lang w:val="en-US" w:eastAsia="en-US"/>
        </w:rPr>
        <w:t xml:space="preserve">(1), 69-81. </w:t>
      </w:r>
      <w:hyperlink r:id="rId15" w:tgtFrame="_blank" w:history="1">
        <w:r w:rsidRPr="00CA6D94">
          <w:rPr>
            <w:rFonts w:eastAsia="Calibri"/>
            <w:color w:val="0000FF"/>
            <w:u w:val="single"/>
            <w:lang w:val="en-US"/>
          </w:rPr>
          <w:t>https://doi.org/10.1016/S1514-0326(09)60006-4</w:t>
        </w:r>
      </w:hyperlink>
    </w:p>
    <w:p w:rsidR="00AF2DC6" w:rsidRDefault="00AF2DC6" w:rsidP="004A29BD">
      <w:pPr>
        <w:autoSpaceDE w:val="0"/>
        <w:autoSpaceDN w:val="0"/>
        <w:adjustRightInd w:val="0"/>
        <w:ind w:left="708" w:hanging="708"/>
        <w:jc w:val="both"/>
        <w:rPr>
          <w:rFonts w:eastAsia="Calibri"/>
          <w:lang w:val="en-US" w:eastAsia="en-US"/>
        </w:rPr>
      </w:pPr>
    </w:p>
    <w:p w:rsidR="004A29BD" w:rsidRDefault="00AF2DC6" w:rsidP="004A29BD">
      <w:pPr>
        <w:autoSpaceDE w:val="0"/>
        <w:autoSpaceDN w:val="0"/>
        <w:adjustRightInd w:val="0"/>
        <w:ind w:left="708" w:hanging="708"/>
        <w:jc w:val="both"/>
        <w:rPr>
          <w:rFonts w:eastAsia="Calibri"/>
          <w:lang w:val="en-US" w:eastAsia="en-US"/>
        </w:rPr>
      </w:pPr>
      <w:commentRangeStart w:id="43"/>
      <w:r w:rsidRPr="00AF2DC6">
        <w:rPr>
          <w:rFonts w:eastAsia="Calibri"/>
          <w:lang w:val="en-US" w:eastAsia="en-US"/>
        </w:rPr>
        <w:t xml:space="preserve">Johnson, R. S. (2010). </w:t>
      </w:r>
      <w:commentRangeEnd w:id="43"/>
      <w:r>
        <w:rPr>
          <w:rStyle w:val="Refdecomentario"/>
        </w:rPr>
        <w:commentReference w:id="43"/>
      </w:r>
      <w:proofErr w:type="gramStart"/>
      <w:r w:rsidRPr="00AF2DC6">
        <w:rPr>
          <w:rFonts w:eastAsia="Calibri"/>
          <w:lang w:val="en-US" w:eastAsia="en-US"/>
        </w:rPr>
        <w:t xml:space="preserve">An Investigation of </w:t>
      </w:r>
      <w:proofErr w:type="spellStart"/>
      <w:r w:rsidRPr="00AF2DC6">
        <w:rPr>
          <w:rFonts w:eastAsia="Calibri"/>
          <w:lang w:val="en-US" w:eastAsia="en-US"/>
        </w:rPr>
        <w:t>cointegration</w:t>
      </w:r>
      <w:proofErr w:type="spellEnd"/>
      <w:r w:rsidRPr="00AF2DC6">
        <w:rPr>
          <w:rFonts w:eastAsia="Calibri"/>
          <w:lang w:val="en-US" w:eastAsia="en-US"/>
        </w:rPr>
        <w:t xml:space="preserve"> and causality between energy consumption and economic growth, 27 January, San Diego, CA.</w:t>
      </w:r>
      <w:proofErr w:type="gramEnd"/>
    </w:p>
    <w:p w:rsidR="00AF2DC6" w:rsidRPr="00CA6D94" w:rsidRDefault="00AF2DC6" w:rsidP="004A29BD">
      <w:pPr>
        <w:autoSpaceDE w:val="0"/>
        <w:autoSpaceDN w:val="0"/>
        <w:adjustRightInd w:val="0"/>
        <w:ind w:left="708" w:hanging="708"/>
        <w:jc w:val="both"/>
        <w:rPr>
          <w:rFonts w:eastAsia="Calibri"/>
          <w:lang w:val="en-US" w:eastAsia="en-US"/>
        </w:rPr>
      </w:pPr>
    </w:p>
    <w:p w:rsidR="004A29BD" w:rsidRPr="00CA6D94" w:rsidRDefault="004A29BD" w:rsidP="004A29BD">
      <w:pPr>
        <w:autoSpaceDE w:val="0"/>
        <w:autoSpaceDN w:val="0"/>
        <w:adjustRightInd w:val="0"/>
        <w:ind w:left="708" w:hanging="708"/>
        <w:jc w:val="both"/>
        <w:rPr>
          <w:rFonts w:eastAsia="Calibri"/>
          <w:lang w:eastAsia="en-US"/>
        </w:rPr>
      </w:pPr>
      <w:commentRangeStart w:id="44"/>
      <w:proofErr w:type="spellStart"/>
      <w:r w:rsidRPr="00CA6D94">
        <w:rPr>
          <w:rFonts w:eastAsia="Calibri"/>
          <w:lang w:val="es-CO" w:eastAsia="en-US"/>
        </w:rPr>
        <w:t>Koontz</w:t>
      </w:r>
      <w:proofErr w:type="spellEnd"/>
      <w:r w:rsidRPr="00CA6D94">
        <w:rPr>
          <w:rFonts w:eastAsia="Calibri"/>
          <w:lang w:val="es-CO" w:eastAsia="en-US"/>
        </w:rPr>
        <w:t xml:space="preserve">, H. &amp; </w:t>
      </w:r>
      <w:proofErr w:type="spellStart"/>
      <w:r w:rsidRPr="00CA6D94">
        <w:rPr>
          <w:rFonts w:eastAsia="Calibri"/>
          <w:lang w:val="es-CO" w:eastAsia="en-US"/>
        </w:rPr>
        <w:t>Weihrich</w:t>
      </w:r>
      <w:proofErr w:type="spellEnd"/>
      <w:r w:rsidRPr="00CA6D94">
        <w:rPr>
          <w:rFonts w:eastAsia="Calibri"/>
          <w:lang w:val="es-CO" w:eastAsia="en-US"/>
        </w:rPr>
        <w:t xml:space="preserve">, H. </w:t>
      </w:r>
      <w:commentRangeEnd w:id="44"/>
      <w:r w:rsidR="009B51B5">
        <w:rPr>
          <w:rStyle w:val="Refdecomentario"/>
        </w:rPr>
        <w:commentReference w:id="44"/>
      </w:r>
      <w:r w:rsidRPr="00CA6D94">
        <w:rPr>
          <w:rFonts w:eastAsia="Calibri"/>
          <w:lang w:val="es-CO" w:eastAsia="en-US"/>
        </w:rPr>
        <w:t xml:space="preserve">(2004). </w:t>
      </w:r>
      <w:r w:rsidRPr="00CA6D94">
        <w:rPr>
          <w:rFonts w:eastAsia="Calibri"/>
          <w:i/>
          <w:lang w:val="es-CO" w:eastAsia="en-US"/>
        </w:rPr>
        <w:t>Administración.</w:t>
      </w:r>
      <w:r w:rsidRPr="00CA6D94">
        <w:rPr>
          <w:rFonts w:eastAsia="Calibri"/>
          <w:lang w:val="es-CO" w:eastAsia="en-US"/>
        </w:rPr>
        <w:t xml:space="preserve"> </w:t>
      </w:r>
      <w:r w:rsidRPr="00CA6D94">
        <w:rPr>
          <w:rFonts w:eastAsia="Calibri"/>
          <w:i/>
          <w:lang w:eastAsia="en-US"/>
        </w:rPr>
        <w:t>Una perspectiva global</w:t>
      </w:r>
      <w:r w:rsidRPr="00CA6D94">
        <w:rPr>
          <w:rFonts w:eastAsia="Calibri"/>
          <w:lang w:eastAsia="en-US"/>
        </w:rPr>
        <w:t xml:space="preserve"> (12 ed.). México: McGraw-Hill Interamericana.</w:t>
      </w:r>
    </w:p>
    <w:p w:rsidR="004A29BD" w:rsidRPr="00CA6D94" w:rsidRDefault="004A29BD" w:rsidP="004A29BD">
      <w:pPr>
        <w:ind w:left="708" w:hanging="708"/>
        <w:jc w:val="both"/>
        <w:rPr>
          <w:rFonts w:eastAsia="Calibri"/>
          <w:b/>
        </w:rPr>
      </w:pPr>
    </w:p>
    <w:p w:rsidR="004A29BD" w:rsidRPr="00CA6D94" w:rsidRDefault="004A29BD" w:rsidP="004A29BD">
      <w:pPr>
        <w:autoSpaceDE w:val="0"/>
        <w:autoSpaceDN w:val="0"/>
        <w:adjustRightInd w:val="0"/>
        <w:ind w:left="708" w:hanging="708"/>
        <w:jc w:val="both"/>
        <w:rPr>
          <w:rFonts w:eastAsia="Calibri"/>
          <w:lang w:val="en-US" w:eastAsia="en-US"/>
        </w:rPr>
      </w:pPr>
      <w:commentRangeStart w:id="45"/>
      <w:r w:rsidRPr="00CA6D94">
        <w:rPr>
          <w:rFonts w:eastAsia="Calibri"/>
          <w:lang w:val="en-US" w:eastAsia="en-US"/>
        </w:rPr>
        <w:t xml:space="preserve">Koopmans, T. C. (1951). </w:t>
      </w:r>
      <w:commentRangeEnd w:id="45"/>
      <w:r w:rsidR="009B51B5">
        <w:rPr>
          <w:rStyle w:val="Refdecomentario"/>
        </w:rPr>
        <w:commentReference w:id="45"/>
      </w:r>
      <w:proofErr w:type="gramStart"/>
      <w:r w:rsidRPr="00CA6D94">
        <w:rPr>
          <w:rFonts w:eastAsia="Calibri"/>
          <w:lang w:val="en-US" w:eastAsia="en-US"/>
        </w:rPr>
        <w:t>Analysis of Production as an Efficient Combination of Activities.</w:t>
      </w:r>
      <w:proofErr w:type="gramEnd"/>
      <w:r w:rsidRPr="00CA6D94">
        <w:rPr>
          <w:rFonts w:eastAsia="Calibri"/>
          <w:lang w:val="en-US" w:eastAsia="en-US"/>
        </w:rPr>
        <w:t xml:space="preserve"> </w:t>
      </w:r>
      <w:proofErr w:type="gramStart"/>
      <w:r w:rsidRPr="00CA6D94">
        <w:rPr>
          <w:rFonts w:eastAsia="Calibri"/>
          <w:lang w:val="en-US" w:eastAsia="en-US"/>
        </w:rPr>
        <w:t xml:space="preserve">In T.C. Koopmans (Ed.) </w:t>
      </w:r>
      <w:r w:rsidRPr="00CA6D94">
        <w:rPr>
          <w:rFonts w:eastAsia="Calibri"/>
          <w:i/>
          <w:iCs/>
          <w:lang w:val="en-US" w:eastAsia="en-US"/>
        </w:rPr>
        <w:t xml:space="preserve">Activity Analysis of Production and Allocation </w:t>
      </w:r>
      <w:r w:rsidRPr="00CA6D94">
        <w:rPr>
          <w:rFonts w:eastAsia="Calibri"/>
          <w:lang w:val="en-US" w:eastAsia="en-US"/>
        </w:rPr>
        <w:t>(pp. 33-97).</w:t>
      </w:r>
      <w:proofErr w:type="gramEnd"/>
      <w:r w:rsidRPr="00CA6D94">
        <w:rPr>
          <w:rFonts w:eastAsia="Calibri"/>
          <w:lang w:val="en-US" w:eastAsia="en-US"/>
        </w:rPr>
        <w:t xml:space="preserve"> New York: John Wiley and Sons.</w:t>
      </w:r>
    </w:p>
    <w:p w:rsidR="004A29BD" w:rsidRPr="00CA6D94" w:rsidRDefault="004A29BD" w:rsidP="004A29BD">
      <w:pPr>
        <w:autoSpaceDE w:val="0"/>
        <w:autoSpaceDN w:val="0"/>
        <w:adjustRightInd w:val="0"/>
        <w:ind w:left="708" w:hanging="708"/>
        <w:jc w:val="both"/>
        <w:rPr>
          <w:rFonts w:eastAsia="Calibri"/>
          <w:lang w:val="en-US" w:eastAsia="en-US"/>
        </w:rPr>
      </w:pPr>
    </w:p>
    <w:p w:rsidR="004A29BD" w:rsidRPr="00CA6D94" w:rsidRDefault="004A29BD" w:rsidP="004A29BD">
      <w:pPr>
        <w:autoSpaceDE w:val="0"/>
        <w:autoSpaceDN w:val="0"/>
        <w:adjustRightInd w:val="0"/>
        <w:ind w:left="708" w:hanging="708"/>
        <w:jc w:val="both"/>
        <w:rPr>
          <w:rFonts w:eastAsia="Calibri"/>
          <w:lang w:val="es-CO" w:eastAsia="en-US"/>
        </w:rPr>
      </w:pPr>
      <w:commentRangeStart w:id="46"/>
      <w:proofErr w:type="spellStart"/>
      <w:r w:rsidRPr="00CA6D94">
        <w:rPr>
          <w:rFonts w:eastAsia="Calibri"/>
          <w:lang w:val="en-US" w:eastAsia="en-US"/>
        </w:rPr>
        <w:t>Mankiw</w:t>
      </w:r>
      <w:proofErr w:type="spellEnd"/>
      <w:r w:rsidRPr="00CA6D94">
        <w:rPr>
          <w:rFonts w:eastAsia="Calibri"/>
          <w:lang w:val="en-US" w:eastAsia="en-US"/>
        </w:rPr>
        <w:t xml:space="preserve">, G. (2004). </w:t>
      </w:r>
      <w:commentRangeEnd w:id="46"/>
      <w:r w:rsidR="00356467">
        <w:rPr>
          <w:rStyle w:val="Refdecomentario"/>
        </w:rPr>
        <w:commentReference w:id="46"/>
      </w:r>
      <w:proofErr w:type="spellStart"/>
      <w:proofErr w:type="gramStart"/>
      <w:r w:rsidRPr="00CA6D94">
        <w:rPr>
          <w:rFonts w:eastAsia="Calibri"/>
          <w:i/>
          <w:lang w:val="en-US" w:eastAsia="en-US"/>
        </w:rPr>
        <w:t>Economía</w:t>
      </w:r>
      <w:proofErr w:type="spellEnd"/>
      <w:r w:rsidRPr="00CA6D94">
        <w:rPr>
          <w:rFonts w:eastAsia="Calibri"/>
          <w:i/>
          <w:lang w:val="en-US" w:eastAsia="en-US"/>
        </w:rPr>
        <w:t>.</w:t>
      </w:r>
      <w:proofErr w:type="gramEnd"/>
      <w:r w:rsidRPr="00CA6D94">
        <w:rPr>
          <w:rFonts w:eastAsia="Calibri"/>
          <w:lang w:val="en-US" w:eastAsia="en-US"/>
        </w:rPr>
        <w:t xml:space="preserve"> </w:t>
      </w:r>
      <w:r w:rsidRPr="00CA6D94">
        <w:rPr>
          <w:rFonts w:eastAsia="Calibri"/>
          <w:lang w:val="es-CO" w:eastAsia="en-US"/>
        </w:rPr>
        <w:t>Madrid: McGraw-Hill Interamericana.</w:t>
      </w:r>
    </w:p>
    <w:p w:rsidR="004A29BD" w:rsidRPr="00CA6D94" w:rsidRDefault="004A29BD" w:rsidP="004A29BD">
      <w:pPr>
        <w:autoSpaceDE w:val="0"/>
        <w:autoSpaceDN w:val="0"/>
        <w:adjustRightInd w:val="0"/>
        <w:ind w:left="708" w:hanging="708"/>
        <w:jc w:val="both"/>
        <w:rPr>
          <w:rFonts w:eastAsia="Calibri"/>
          <w:lang w:val="es-CO" w:eastAsia="en-US"/>
        </w:rPr>
      </w:pPr>
    </w:p>
    <w:p w:rsidR="004A29BD" w:rsidRDefault="004A29BD" w:rsidP="004A29BD">
      <w:pPr>
        <w:autoSpaceDE w:val="0"/>
        <w:autoSpaceDN w:val="0"/>
        <w:adjustRightInd w:val="0"/>
        <w:ind w:left="708" w:hanging="708"/>
        <w:jc w:val="both"/>
        <w:rPr>
          <w:rFonts w:eastAsia="Calibri"/>
          <w:lang w:val="en-US" w:eastAsia="en-US"/>
        </w:rPr>
      </w:pPr>
      <w:commentRangeStart w:id="47"/>
      <w:proofErr w:type="gramStart"/>
      <w:r w:rsidRPr="00CA6D94">
        <w:rPr>
          <w:rFonts w:eastAsia="Calibri"/>
          <w:lang w:val="en-US" w:eastAsia="en-US"/>
        </w:rPr>
        <w:t xml:space="preserve">Nguyen, T., </w:t>
      </w:r>
      <w:proofErr w:type="spellStart"/>
      <w:r w:rsidRPr="00CA6D94">
        <w:rPr>
          <w:rFonts w:eastAsia="Calibri"/>
          <w:lang w:val="en-US" w:eastAsia="en-US"/>
        </w:rPr>
        <w:t>Nghiem</w:t>
      </w:r>
      <w:proofErr w:type="spellEnd"/>
      <w:r w:rsidRPr="00CA6D94">
        <w:rPr>
          <w:rFonts w:eastAsia="Calibri"/>
          <w:lang w:val="en-US" w:eastAsia="en-US"/>
        </w:rPr>
        <w:t>, S., Roca, E. &amp; Sharma, P. (2016).</w:t>
      </w:r>
      <w:proofErr w:type="gramEnd"/>
      <w:r w:rsidRPr="00CA6D94">
        <w:rPr>
          <w:rFonts w:eastAsia="Calibri"/>
          <w:lang w:val="en-US" w:eastAsia="en-US"/>
        </w:rPr>
        <w:t xml:space="preserve"> </w:t>
      </w:r>
      <w:commentRangeEnd w:id="47"/>
      <w:r w:rsidR="00356467">
        <w:rPr>
          <w:rStyle w:val="Refdecomentario"/>
        </w:rPr>
        <w:commentReference w:id="47"/>
      </w:r>
      <w:r w:rsidRPr="00CA6D94">
        <w:rPr>
          <w:rFonts w:eastAsia="Calibri"/>
          <w:lang w:val="en-US" w:eastAsia="en-US"/>
        </w:rPr>
        <w:t xml:space="preserve">Bank Reforms and Efficiency in Vietnamese Banks: Evidence Based on SFA and DEA. </w:t>
      </w:r>
      <w:r w:rsidRPr="00CA6D94">
        <w:rPr>
          <w:rFonts w:eastAsia="Calibri"/>
          <w:i/>
          <w:lang w:val="en-US" w:eastAsia="en-US"/>
        </w:rPr>
        <w:t>Applied Economics, 48</w:t>
      </w:r>
      <w:r w:rsidRPr="00CA6D94">
        <w:rPr>
          <w:rFonts w:eastAsia="Calibri"/>
          <w:lang w:val="en-US" w:eastAsia="en-US"/>
        </w:rPr>
        <w:t xml:space="preserve">(30), 2822-2835. </w:t>
      </w:r>
      <w:r w:rsidRPr="00356467">
        <w:rPr>
          <w:rFonts w:eastAsia="Calibri"/>
          <w:color w:val="0033CC"/>
          <w:lang w:val="en-US" w:eastAsia="en-US"/>
        </w:rPr>
        <w:t>doi:10.1080/00036846.2015.1130788</w:t>
      </w:r>
    </w:p>
    <w:p w:rsidR="004A29BD" w:rsidRPr="00CA6D94" w:rsidRDefault="004A29BD" w:rsidP="004A29BD">
      <w:pPr>
        <w:autoSpaceDE w:val="0"/>
        <w:autoSpaceDN w:val="0"/>
        <w:adjustRightInd w:val="0"/>
        <w:ind w:left="708" w:hanging="708"/>
        <w:jc w:val="both"/>
        <w:rPr>
          <w:rFonts w:eastAsia="Calibri"/>
        </w:rPr>
      </w:pPr>
      <w:commentRangeStart w:id="48"/>
      <w:proofErr w:type="spellStart"/>
      <w:r w:rsidRPr="00CA6D94">
        <w:rPr>
          <w:rFonts w:eastAsia="Calibri"/>
          <w:lang w:val="en-US" w:eastAsia="en-US"/>
        </w:rPr>
        <w:lastRenderedPageBreak/>
        <w:t>Poveda</w:t>
      </w:r>
      <w:proofErr w:type="spellEnd"/>
      <w:r w:rsidRPr="00CA6D94">
        <w:rPr>
          <w:rFonts w:eastAsia="Calibri"/>
          <w:lang w:val="en-US" w:eastAsia="en-US"/>
        </w:rPr>
        <w:t xml:space="preserve">, A. C. (2013). </w:t>
      </w:r>
      <w:commentRangeEnd w:id="48"/>
      <w:r w:rsidR="00356467">
        <w:rPr>
          <w:rStyle w:val="Refdecomentario"/>
        </w:rPr>
        <w:commentReference w:id="48"/>
      </w:r>
      <w:proofErr w:type="gramStart"/>
      <w:r w:rsidRPr="00CA6D94">
        <w:rPr>
          <w:rFonts w:eastAsia="Calibri"/>
          <w:lang w:val="en-US" w:eastAsia="en-US"/>
        </w:rPr>
        <w:t>Corruption, Economic Development, and Insecurity in Colombia.</w:t>
      </w:r>
      <w:proofErr w:type="gramEnd"/>
      <w:r w:rsidRPr="00CA6D94">
        <w:rPr>
          <w:rFonts w:eastAsia="Calibri"/>
          <w:lang w:val="en-US" w:eastAsia="en-US"/>
        </w:rPr>
        <w:t xml:space="preserve"> </w:t>
      </w:r>
      <w:proofErr w:type="gramStart"/>
      <w:r w:rsidRPr="00CA6D94">
        <w:rPr>
          <w:rFonts w:eastAsia="Calibri"/>
          <w:lang w:val="en-US" w:eastAsia="en-US"/>
        </w:rPr>
        <w:t xml:space="preserve">In </w:t>
      </w:r>
      <w:r w:rsidRPr="00CA6D94">
        <w:rPr>
          <w:rFonts w:eastAsia="Calibri"/>
          <w:i/>
          <w:lang w:val="en-US" w:eastAsia="en-US"/>
        </w:rPr>
        <w:t>Handbook of Research on Strategic Performance Management and Measurement Using Data Envelopment Analysis</w:t>
      </w:r>
      <w:r w:rsidRPr="00CA6D94">
        <w:rPr>
          <w:rFonts w:eastAsia="Calibri"/>
          <w:lang w:val="en-US" w:eastAsia="en-US"/>
        </w:rPr>
        <w:t xml:space="preserve"> (pp. 373-387).</w:t>
      </w:r>
      <w:proofErr w:type="gramEnd"/>
      <w:r w:rsidRPr="00CA6D94">
        <w:rPr>
          <w:rFonts w:eastAsia="Calibri"/>
          <w:lang w:val="en-US" w:eastAsia="en-US"/>
        </w:rPr>
        <w:t xml:space="preserve"> </w:t>
      </w:r>
      <w:hyperlink r:id="rId16" w:tgtFrame="_blank" w:history="1">
        <w:r w:rsidRPr="00CA6D94">
          <w:rPr>
            <w:rFonts w:eastAsia="Calibri"/>
            <w:color w:val="0000FF"/>
            <w:u w:val="single"/>
          </w:rPr>
          <w:t>https://doi.org/10.4018/978-1-4666-4474-8.ch009</w:t>
        </w:r>
      </w:hyperlink>
    </w:p>
    <w:p w:rsidR="004A29BD" w:rsidRPr="00CA6D94" w:rsidRDefault="004A29BD" w:rsidP="004A29BD">
      <w:pPr>
        <w:autoSpaceDE w:val="0"/>
        <w:autoSpaceDN w:val="0"/>
        <w:adjustRightInd w:val="0"/>
        <w:ind w:left="708" w:hanging="708"/>
        <w:jc w:val="both"/>
        <w:rPr>
          <w:rFonts w:eastAsia="Calibri"/>
          <w:lang w:val="es-CO" w:eastAsia="en-US"/>
        </w:rPr>
      </w:pPr>
    </w:p>
    <w:p w:rsidR="004A29BD" w:rsidRPr="00CA6D94" w:rsidRDefault="004A29BD" w:rsidP="004A29BD">
      <w:pPr>
        <w:autoSpaceDE w:val="0"/>
        <w:autoSpaceDN w:val="0"/>
        <w:adjustRightInd w:val="0"/>
        <w:ind w:left="708" w:hanging="708"/>
        <w:jc w:val="both"/>
        <w:rPr>
          <w:rFonts w:eastAsia="Calibri"/>
          <w:lang w:val="es-CO" w:eastAsia="en-US"/>
        </w:rPr>
      </w:pPr>
      <w:commentRangeStart w:id="49"/>
      <w:proofErr w:type="spellStart"/>
      <w:r w:rsidRPr="00CA6D94">
        <w:rPr>
          <w:rFonts w:eastAsia="Calibri"/>
          <w:lang w:val="es-CO" w:eastAsia="en-US"/>
        </w:rPr>
        <w:t>Robbins</w:t>
      </w:r>
      <w:proofErr w:type="spellEnd"/>
      <w:r w:rsidRPr="00CA6D94">
        <w:rPr>
          <w:rFonts w:eastAsia="Calibri"/>
          <w:lang w:val="es-CO" w:eastAsia="en-US"/>
        </w:rPr>
        <w:t xml:space="preserve">, S. &amp; </w:t>
      </w:r>
      <w:proofErr w:type="spellStart"/>
      <w:r w:rsidRPr="00CA6D94">
        <w:rPr>
          <w:rFonts w:eastAsia="Calibri"/>
          <w:lang w:val="es-CO" w:eastAsia="en-US"/>
        </w:rPr>
        <w:t>Coulter</w:t>
      </w:r>
      <w:proofErr w:type="spellEnd"/>
      <w:r w:rsidRPr="00CA6D94">
        <w:rPr>
          <w:rFonts w:eastAsia="Calibri"/>
          <w:lang w:val="es-CO" w:eastAsia="en-US"/>
        </w:rPr>
        <w:t xml:space="preserve">, M. (2005). </w:t>
      </w:r>
      <w:commentRangeEnd w:id="49"/>
      <w:r w:rsidR="00356467">
        <w:rPr>
          <w:rStyle w:val="Refdecomentario"/>
        </w:rPr>
        <w:commentReference w:id="49"/>
      </w:r>
      <w:r w:rsidRPr="00CA6D94">
        <w:rPr>
          <w:rFonts w:eastAsia="Calibri"/>
          <w:i/>
          <w:lang w:val="es-CO" w:eastAsia="en-US"/>
        </w:rPr>
        <w:t>Administración</w:t>
      </w:r>
      <w:r w:rsidRPr="00CA6D94">
        <w:rPr>
          <w:rFonts w:eastAsia="Calibri"/>
          <w:lang w:val="es-CO" w:eastAsia="en-US"/>
        </w:rPr>
        <w:t xml:space="preserve"> (8 ed.). México: Pearson Educación.</w:t>
      </w:r>
    </w:p>
    <w:p w:rsidR="004A29BD" w:rsidRPr="00CA6D94" w:rsidRDefault="004A29BD" w:rsidP="004A29BD">
      <w:pPr>
        <w:autoSpaceDE w:val="0"/>
        <w:autoSpaceDN w:val="0"/>
        <w:adjustRightInd w:val="0"/>
        <w:ind w:left="708" w:hanging="708"/>
        <w:jc w:val="both"/>
        <w:rPr>
          <w:rFonts w:eastAsia="Calibri"/>
          <w:lang w:val="es-CO" w:eastAsia="en-US"/>
        </w:rPr>
      </w:pPr>
    </w:p>
    <w:p w:rsidR="004A29BD" w:rsidRPr="00CA6D94" w:rsidRDefault="004A29BD" w:rsidP="004A29BD">
      <w:pPr>
        <w:autoSpaceDE w:val="0"/>
        <w:autoSpaceDN w:val="0"/>
        <w:adjustRightInd w:val="0"/>
        <w:ind w:left="708" w:hanging="708"/>
        <w:jc w:val="both"/>
        <w:rPr>
          <w:rFonts w:eastAsia="Calibri"/>
          <w:lang w:val="es-CO" w:eastAsia="en-US"/>
        </w:rPr>
      </w:pPr>
      <w:commentRangeStart w:id="50"/>
      <w:r w:rsidRPr="00CA6D94">
        <w:rPr>
          <w:rFonts w:eastAsia="Calibri"/>
          <w:lang w:val="es-CO" w:eastAsia="en-US"/>
        </w:rPr>
        <w:t xml:space="preserve">Rodríguez, I. (2016).  </w:t>
      </w:r>
      <w:commentRangeEnd w:id="50"/>
      <w:r w:rsidR="00356467">
        <w:rPr>
          <w:rStyle w:val="Refdecomentario"/>
        </w:rPr>
        <w:commentReference w:id="50"/>
      </w:r>
      <w:r w:rsidRPr="00CA6D94">
        <w:rPr>
          <w:rFonts w:eastAsia="Calibri"/>
          <w:i/>
          <w:lang w:val="es-CO" w:eastAsia="en-US"/>
        </w:rPr>
        <w:t xml:space="preserve">Indicadores DEA para las actividades de extensión universitaria.  Aplicación a la Universidad Nacional de Colombia </w:t>
      </w:r>
      <w:r w:rsidRPr="00CA6D94">
        <w:rPr>
          <w:rFonts w:eastAsia="Calibri"/>
          <w:lang w:val="es-CO" w:eastAsia="en-US"/>
        </w:rPr>
        <w:t>(2</w:t>
      </w:r>
      <w:proofErr w:type="gramStart"/>
      <w:r w:rsidRPr="00CA6D94">
        <w:rPr>
          <w:rFonts w:eastAsia="Calibri"/>
          <w:lang w:val="es-CO" w:eastAsia="en-US"/>
        </w:rPr>
        <w:t>.ª</w:t>
      </w:r>
      <w:proofErr w:type="gramEnd"/>
      <w:r w:rsidRPr="00CA6D94">
        <w:rPr>
          <w:rFonts w:eastAsia="Calibri"/>
          <w:lang w:val="es-CO" w:eastAsia="en-US"/>
        </w:rPr>
        <w:t xml:space="preserve"> ed.). Bogotá: Universidad Nacional de Colombia, Facultad de Ciencias Económicas.</w:t>
      </w:r>
    </w:p>
    <w:p w:rsidR="004A29BD" w:rsidRDefault="00AF2DC6" w:rsidP="004A29BD">
      <w:pPr>
        <w:autoSpaceDE w:val="0"/>
        <w:autoSpaceDN w:val="0"/>
        <w:adjustRightInd w:val="0"/>
        <w:ind w:left="708" w:hanging="708"/>
        <w:jc w:val="both"/>
        <w:rPr>
          <w:rFonts w:eastAsia="Calibri"/>
          <w:lang w:val="en-US" w:eastAsia="en-US"/>
        </w:rPr>
      </w:pPr>
      <w:commentRangeStart w:id="51"/>
      <w:proofErr w:type="gramStart"/>
      <w:r w:rsidRPr="00AF2DC6">
        <w:rPr>
          <w:rFonts w:eastAsia="Calibri"/>
          <w:lang w:val="en-US" w:eastAsia="en-US"/>
        </w:rPr>
        <w:t>Ross, D. R. (2010).</w:t>
      </w:r>
      <w:proofErr w:type="gramEnd"/>
      <w:r w:rsidRPr="00AF2DC6">
        <w:rPr>
          <w:rFonts w:eastAsia="Calibri"/>
          <w:lang w:val="en-US" w:eastAsia="en-US"/>
        </w:rPr>
        <w:t xml:space="preserve"> </w:t>
      </w:r>
      <w:commentRangeEnd w:id="51"/>
      <w:r>
        <w:rPr>
          <w:rStyle w:val="Refdecomentario"/>
        </w:rPr>
        <w:commentReference w:id="51"/>
      </w:r>
      <w:proofErr w:type="gramStart"/>
      <w:r w:rsidRPr="00AF2DC6">
        <w:rPr>
          <w:rFonts w:eastAsia="Calibri"/>
          <w:lang w:val="en-US" w:eastAsia="en-US"/>
        </w:rPr>
        <w:t xml:space="preserve">An Investigation of </w:t>
      </w:r>
      <w:proofErr w:type="spellStart"/>
      <w:r w:rsidRPr="00AF2DC6">
        <w:rPr>
          <w:rFonts w:eastAsia="Calibri"/>
          <w:lang w:val="en-US" w:eastAsia="en-US"/>
        </w:rPr>
        <w:t>cointegration</w:t>
      </w:r>
      <w:proofErr w:type="spellEnd"/>
      <w:r w:rsidRPr="00AF2DC6">
        <w:rPr>
          <w:rFonts w:eastAsia="Calibri"/>
          <w:lang w:val="en-US" w:eastAsia="en-US"/>
        </w:rPr>
        <w:t xml:space="preserve"> and causality between energy consumption and economic growth, Doctoral dissertation, Cornell University.</w:t>
      </w:r>
      <w:proofErr w:type="gramEnd"/>
    </w:p>
    <w:p w:rsidR="00AF2DC6" w:rsidRPr="00CA6D94" w:rsidRDefault="00AF2DC6" w:rsidP="004A29BD">
      <w:pPr>
        <w:autoSpaceDE w:val="0"/>
        <w:autoSpaceDN w:val="0"/>
        <w:adjustRightInd w:val="0"/>
        <w:ind w:left="708" w:hanging="708"/>
        <w:jc w:val="both"/>
        <w:rPr>
          <w:rFonts w:eastAsia="Calibri"/>
          <w:lang w:val="en-US" w:eastAsia="en-US"/>
        </w:rPr>
      </w:pPr>
    </w:p>
    <w:p w:rsidR="004A29BD" w:rsidRPr="00CA6D94" w:rsidRDefault="004A29BD" w:rsidP="004A29BD">
      <w:pPr>
        <w:autoSpaceDE w:val="0"/>
        <w:autoSpaceDN w:val="0"/>
        <w:adjustRightInd w:val="0"/>
        <w:ind w:left="708" w:hanging="708"/>
        <w:jc w:val="both"/>
        <w:rPr>
          <w:rFonts w:eastAsia="Calibri"/>
          <w:lang w:eastAsia="en-US"/>
        </w:rPr>
      </w:pPr>
      <w:commentRangeStart w:id="52"/>
      <w:proofErr w:type="spellStart"/>
      <w:r w:rsidRPr="00586DBF">
        <w:rPr>
          <w:rFonts w:eastAsia="Calibri"/>
          <w:lang w:val="es-CO" w:eastAsia="en-US"/>
        </w:rPr>
        <w:t>Samuelson</w:t>
      </w:r>
      <w:proofErr w:type="spellEnd"/>
      <w:r w:rsidRPr="00586DBF">
        <w:rPr>
          <w:rFonts w:eastAsia="Calibri"/>
          <w:lang w:val="es-CO" w:eastAsia="en-US"/>
        </w:rPr>
        <w:t xml:space="preserve">, P. &amp; </w:t>
      </w:r>
      <w:proofErr w:type="spellStart"/>
      <w:r w:rsidRPr="00586DBF">
        <w:rPr>
          <w:rFonts w:eastAsia="Calibri"/>
          <w:lang w:val="es-CO" w:eastAsia="en-US"/>
        </w:rPr>
        <w:t>Nordhaus</w:t>
      </w:r>
      <w:proofErr w:type="spellEnd"/>
      <w:r w:rsidRPr="00586DBF">
        <w:rPr>
          <w:rFonts w:eastAsia="Calibri"/>
          <w:lang w:val="es-CO" w:eastAsia="en-US"/>
        </w:rPr>
        <w:t xml:space="preserve">, W. (2002). </w:t>
      </w:r>
      <w:commentRangeEnd w:id="52"/>
      <w:r w:rsidR="00AF2DC6">
        <w:rPr>
          <w:rStyle w:val="Refdecomentario"/>
        </w:rPr>
        <w:commentReference w:id="52"/>
      </w:r>
      <w:r w:rsidRPr="00586DBF">
        <w:rPr>
          <w:rFonts w:eastAsia="Calibri"/>
          <w:i/>
          <w:lang w:val="es-CO" w:eastAsia="en-US"/>
        </w:rPr>
        <w:t>Economía</w:t>
      </w:r>
      <w:r w:rsidRPr="00586DBF">
        <w:rPr>
          <w:rFonts w:eastAsia="Calibri"/>
          <w:lang w:val="es-CO" w:eastAsia="en-US"/>
        </w:rPr>
        <w:t xml:space="preserve">. </w:t>
      </w:r>
      <w:r w:rsidRPr="00CA6D94">
        <w:rPr>
          <w:rFonts w:eastAsia="Calibri"/>
          <w:lang w:eastAsia="en-US"/>
        </w:rPr>
        <w:t>Madrid: McGraw Hill.</w:t>
      </w:r>
    </w:p>
    <w:p w:rsidR="004A29BD" w:rsidRPr="00CA6D94" w:rsidRDefault="004A29BD" w:rsidP="004A29BD">
      <w:pPr>
        <w:autoSpaceDE w:val="0"/>
        <w:autoSpaceDN w:val="0"/>
        <w:adjustRightInd w:val="0"/>
        <w:ind w:left="708" w:hanging="708"/>
        <w:jc w:val="both"/>
        <w:rPr>
          <w:rFonts w:eastAsia="Calibri"/>
          <w:lang w:eastAsia="en-US"/>
        </w:rPr>
      </w:pPr>
    </w:p>
    <w:p w:rsidR="004A29BD" w:rsidRPr="00CA6D94" w:rsidRDefault="004A29BD" w:rsidP="004A29BD">
      <w:pPr>
        <w:autoSpaceDE w:val="0"/>
        <w:autoSpaceDN w:val="0"/>
        <w:adjustRightInd w:val="0"/>
        <w:ind w:left="708" w:hanging="708"/>
        <w:jc w:val="both"/>
        <w:rPr>
          <w:rFonts w:eastAsia="Calibri"/>
          <w:lang w:val="en-US" w:eastAsia="en-US"/>
        </w:rPr>
      </w:pPr>
    </w:p>
    <w:p w:rsidR="004A29BD" w:rsidRPr="00AF2DC6" w:rsidRDefault="004A29BD" w:rsidP="004A29BD">
      <w:pPr>
        <w:autoSpaceDE w:val="0"/>
        <w:autoSpaceDN w:val="0"/>
        <w:adjustRightInd w:val="0"/>
        <w:ind w:left="708" w:hanging="708"/>
        <w:jc w:val="both"/>
        <w:rPr>
          <w:rFonts w:eastAsia="Calibri"/>
          <w:lang w:val="en-US" w:eastAsia="en-US"/>
        </w:rPr>
      </w:pPr>
      <w:commentRangeStart w:id="53"/>
      <w:proofErr w:type="spellStart"/>
      <w:r w:rsidRPr="00CA6D94">
        <w:rPr>
          <w:rFonts w:eastAsia="Calibri"/>
          <w:lang w:val="en-US" w:eastAsia="en-US"/>
        </w:rPr>
        <w:t>Superintendencia</w:t>
      </w:r>
      <w:proofErr w:type="spellEnd"/>
      <w:r w:rsidRPr="00CA6D94">
        <w:rPr>
          <w:rFonts w:eastAsia="Calibri"/>
          <w:lang w:val="en-US" w:eastAsia="en-US"/>
        </w:rPr>
        <w:t xml:space="preserve"> </w:t>
      </w:r>
      <w:proofErr w:type="spellStart"/>
      <w:r w:rsidRPr="00CA6D94">
        <w:rPr>
          <w:rFonts w:eastAsia="Calibri"/>
          <w:lang w:val="en-US" w:eastAsia="en-US"/>
        </w:rPr>
        <w:t>Financiera</w:t>
      </w:r>
      <w:proofErr w:type="spellEnd"/>
      <w:r w:rsidRPr="00CA6D94">
        <w:rPr>
          <w:rFonts w:eastAsia="Calibri"/>
          <w:lang w:val="en-US" w:eastAsia="en-US"/>
        </w:rPr>
        <w:t xml:space="preserve"> de Colombia. </w:t>
      </w:r>
      <w:proofErr w:type="gramStart"/>
      <w:r w:rsidRPr="00AF2DC6">
        <w:rPr>
          <w:rFonts w:eastAsia="Calibri"/>
          <w:lang w:val="en-US" w:eastAsia="en-US"/>
        </w:rPr>
        <w:t>(</w:t>
      </w:r>
      <w:proofErr w:type="spellStart"/>
      <w:r w:rsidRPr="00AF2DC6">
        <w:rPr>
          <w:rFonts w:eastAsia="Calibri"/>
          <w:lang w:val="en-US" w:eastAsia="en-US"/>
        </w:rPr>
        <w:t>s.f.</w:t>
      </w:r>
      <w:proofErr w:type="spellEnd"/>
      <w:r w:rsidRPr="00AF2DC6">
        <w:rPr>
          <w:rFonts w:eastAsia="Calibri"/>
          <w:lang w:val="en-US" w:eastAsia="en-US"/>
        </w:rPr>
        <w:t>)</w:t>
      </w:r>
      <w:proofErr w:type="gramEnd"/>
      <w:r w:rsidRPr="00AF2DC6">
        <w:rPr>
          <w:rFonts w:eastAsia="Calibri"/>
          <w:lang w:val="en-US" w:eastAsia="en-US"/>
        </w:rPr>
        <w:t xml:space="preserve"> </w:t>
      </w:r>
      <w:commentRangeEnd w:id="53"/>
      <w:r w:rsidR="00E773F4">
        <w:rPr>
          <w:rStyle w:val="Refdecomentario"/>
        </w:rPr>
        <w:commentReference w:id="53"/>
      </w:r>
      <w:proofErr w:type="gramStart"/>
      <w:r w:rsidRPr="00AF2DC6">
        <w:rPr>
          <w:rFonts w:eastAsia="Calibri"/>
          <w:lang w:val="en-US" w:eastAsia="en-US"/>
        </w:rPr>
        <w:t>Bogotá.</w:t>
      </w:r>
      <w:proofErr w:type="gramEnd"/>
      <w:r w:rsidRPr="00AF2DC6">
        <w:rPr>
          <w:rFonts w:eastAsia="Calibri"/>
          <w:lang w:val="en-US" w:eastAsia="en-US"/>
        </w:rPr>
        <w:t xml:space="preserve"> </w:t>
      </w:r>
      <w:proofErr w:type="spellStart"/>
      <w:r w:rsidRPr="00AF2DC6">
        <w:rPr>
          <w:rFonts w:eastAsia="Calibri"/>
          <w:lang w:val="en-US" w:eastAsia="en-US"/>
        </w:rPr>
        <w:t>Recuperado</w:t>
      </w:r>
      <w:proofErr w:type="spellEnd"/>
      <w:r w:rsidRPr="00AF2DC6">
        <w:rPr>
          <w:rFonts w:eastAsia="Calibri"/>
          <w:lang w:val="en-US" w:eastAsia="en-US"/>
        </w:rPr>
        <w:t xml:space="preserve"> de: </w:t>
      </w:r>
      <w:hyperlink r:id="rId17" w:history="1">
        <w:r w:rsidRPr="00AF2DC6">
          <w:rPr>
            <w:rFonts w:eastAsia="Calibri"/>
            <w:lang w:val="en-US" w:eastAsia="en-US"/>
          </w:rPr>
          <w:t>https://www.superfinanciera.gov.co/jsp/index.jsf</w:t>
        </w:r>
      </w:hyperlink>
    </w:p>
    <w:p w:rsidR="004A29BD" w:rsidRPr="004A29BD" w:rsidRDefault="004A29BD" w:rsidP="004A29BD">
      <w:pPr>
        <w:ind w:left="708" w:hanging="708"/>
        <w:jc w:val="both"/>
        <w:rPr>
          <w:rFonts w:eastAsia="Calibri"/>
          <w:b/>
          <w:lang w:val="en-US"/>
        </w:rPr>
      </w:pPr>
    </w:p>
    <w:p w:rsidR="00D31C2A" w:rsidRPr="002D7B16" w:rsidRDefault="00D31C2A" w:rsidP="00BA5DCF">
      <w:pPr>
        <w:jc w:val="both"/>
        <w:rPr>
          <w:b/>
          <w:lang w:val="en-US"/>
        </w:rPr>
      </w:pPr>
    </w:p>
    <w:p w:rsidR="00D31C2A" w:rsidRPr="002D7B16" w:rsidRDefault="00D31C2A" w:rsidP="00BA5DCF">
      <w:pPr>
        <w:jc w:val="both"/>
        <w:rPr>
          <w:b/>
          <w:lang w:val="en-US"/>
        </w:rPr>
      </w:pPr>
    </w:p>
    <w:p w:rsidR="00D31C2A" w:rsidRPr="002D7B16" w:rsidRDefault="00D31C2A" w:rsidP="00BA5DCF">
      <w:pPr>
        <w:jc w:val="both"/>
        <w:rPr>
          <w:b/>
          <w:lang w:val="en-US"/>
        </w:rPr>
      </w:pPr>
    </w:p>
    <w:p w:rsidR="00133A12" w:rsidRPr="002D7B16" w:rsidRDefault="00133A12" w:rsidP="00BA5DCF">
      <w:pPr>
        <w:jc w:val="both"/>
        <w:rPr>
          <w:lang w:val="en-US"/>
        </w:rPr>
      </w:pPr>
    </w:p>
    <w:sectPr w:rsidR="00133A12" w:rsidRPr="002D7B16" w:rsidSect="00C4711E">
      <w:type w:val="continuous"/>
      <w:pgSz w:w="12240" w:h="15840"/>
      <w:pgMar w:top="1702" w:right="1467" w:bottom="1417" w:left="226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uptc" w:date="2017-09-19T16:54:00Z" w:initials="t">
    <w:p w:rsidR="00C4711E" w:rsidRDefault="00C4711E">
      <w:pPr>
        <w:pStyle w:val="Textocomentario"/>
      </w:pPr>
      <w:r>
        <w:rPr>
          <w:rStyle w:val="Refdecomentario"/>
        </w:rPr>
        <w:annotationRef/>
      </w:r>
      <w:r>
        <w:rPr>
          <w:rStyle w:val="Refdecomentario"/>
        </w:rPr>
        <w:t>Tamaño carta</w:t>
      </w:r>
      <w:r w:rsidRPr="002871D9">
        <w:t xml:space="preserve">. Márgenes: Derecha </w:t>
      </w:r>
      <w:r>
        <w:t xml:space="preserve"> 3 cm, i</w:t>
      </w:r>
      <w:r w:rsidRPr="002871D9">
        <w:t xml:space="preserve">zquierda 4 cm. Techo: 3 cm y </w:t>
      </w:r>
      <w:r>
        <w:t>piso 3 cm.</w:t>
      </w:r>
      <w:r w:rsidR="001E4F73">
        <w:t xml:space="preserve"> (Dejar 8 espacios en esta</w:t>
      </w:r>
      <w:bookmarkStart w:id="1" w:name="_GoBack"/>
      <w:bookmarkEnd w:id="1"/>
      <w:r w:rsidR="001E4F73">
        <w:t xml:space="preserve"> entrada)</w:t>
      </w:r>
    </w:p>
  </w:comment>
  <w:comment w:id="2" w:author="tuptc" w:date="2017-09-19T16:16:00Z" w:initials="t">
    <w:p w:rsidR="00C4711E" w:rsidRDefault="00C4711E">
      <w:pPr>
        <w:pStyle w:val="Textocomentario"/>
      </w:pPr>
      <w:r>
        <w:rPr>
          <w:rStyle w:val="Refdecomentario"/>
        </w:rPr>
        <w:annotationRef/>
      </w:r>
      <w:r w:rsidRPr="00C4711E">
        <w:t>El título en español se debe escribir en TNR 16 puntos,  negrita, centrado.</w:t>
      </w:r>
    </w:p>
  </w:comment>
  <w:comment w:id="3" w:author="tuptc" w:date="2017-09-19T16:16:00Z" w:initials="t">
    <w:p w:rsidR="00586DBF" w:rsidRDefault="00586DBF">
      <w:pPr>
        <w:pStyle w:val="Textocomentario"/>
      </w:pPr>
      <w:r>
        <w:rPr>
          <w:rStyle w:val="Refdecomentario"/>
        </w:rPr>
        <w:annotationRef/>
      </w:r>
      <w:r>
        <w:t xml:space="preserve">Títulos </w:t>
      </w:r>
      <w:r w:rsidR="00C4711E">
        <w:t>en otros idiomas en TNR 16</w:t>
      </w:r>
      <w:r>
        <w:t xml:space="preserve">, centrados y en cursiva. </w:t>
      </w:r>
    </w:p>
  </w:comment>
  <w:comment w:id="4" w:author="tuptc" w:date="2017-09-15T15:31:00Z" w:initials="t">
    <w:p w:rsidR="002871D9" w:rsidRDefault="002871D9">
      <w:pPr>
        <w:pStyle w:val="Textocomentario"/>
      </w:pPr>
      <w:r>
        <w:rPr>
          <w:rStyle w:val="Refdecomentario"/>
        </w:rPr>
        <w:annotationRef/>
      </w:r>
      <w:r>
        <w:t xml:space="preserve">No debe incluir información de autores en este documento. Deben ir en la página de cubierta. </w:t>
      </w:r>
    </w:p>
  </w:comment>
  <w:comment w:id="5" w:author="tuptc" w:date="2017-09-15T15:37:00Z" w:initials="t">
    <w:p w:rsidR="002871D9" w:rsidRDefault="002871D9" w:rsidP="002871D9">
      <w:pPr>
        <w:pStyle w:val="Textocomentario"/>
      </w:pPr>
      <w:r>
        <w:rPr>
          <w:rStyle w:val="Refdecomentario"/>
        </w:rPr>
        <w:annotationRef/>
      </w:r>
      <w:r>
        <w:t>Todo escrito se acompañará de los respectivos resúmenes en español, inglés y portugués, los que no superarán las 150 palabras y deberán proporcionar la información suficiente para que los lectores  identifiquen el tema del artículo. Ver punto 3 de las directrices para los autores.</w:t>
      </w:r>
    </w:p>
    <w:p w:rsidR="002871D9" w:rsidRDefault="002871D9" w:rsidP="002871D9">
      <w:pPr>
        <w:pStyle w:val="Textocomentario"/>
      </w:pPr>
    </w:p>
  </w:comment>
  <w:comment w:id="6" w:author="tuptc" w:date="2017-09-18T16:26:00Z" w:initials="t">
    <w:p w:rsidR="009E54BA" w:rsidRDefault="009E54BA">
      <w:pPr>
        <w:pStyle w:val="Textocomentario"/>
      </w:pPr>
      <w:r>
        <w:rPr>
          <w:rStyle w:val="Refdecomentario"/>
        </w:rPr>
        <w:annotationRef/>
      </w:r>
      <w:r w:rsidRPr="009E54BA">
        <w:t>Al emplear una sigla o una abreviatura, primero se registrará su  equivalencia completa y a continuación, entre paréntesis, el término que será utilizado en el resto del documento.</w:t>
      </w:r>
    </w:p>
  </w:comment>
  <w:comment w:id="7" w:author="tuptc" w:date="2017-09-19T14:22:00Z" w:initials="t">
    <w:p w:rsidR="002871D9" w:rsidRDefault="002871D9">
      <w:pPr>
        <w:pStyle w:val="Textocomentario"/>
      </w:pPr>
      <w:r>
        <w:rPr>
          <w:rStyle w:val="Refdecomentario"/>
        </w:rPr>
        <w:annotationRef/>
      </w:r>
      <w:r w:rsidRPr="002871D9">
        <w:t>Se anotarán máximo siete palabras clave, también en español, inglés y portugués. Solicitamos verificar las palabras clave en la base THESAURUS.</w:t>
      </w:r>
      <w:r w:rsidR="009E54BA">
        <w:t xml:space="preserve"> </w:t>
      </w:r>
      <w:r w:rsidR="003F222C">
        <w:t>Deben</w:t>
      </w:r>
      <w:r w:rsidR="005817D0">
        <w:t xml:space="preserve"> ir separados por comas</w:t>
      </w:r>
      <w:r w:rsidR="009E54BA">
        <w:t>.</w:t>
      </w:r>
    </w:p>
  </w:comment>
  <w:comment w:id="8" w:author="tuptc" w:date="2017-09-18T16:51:00Z" w:initials="t">
    <w:p w:rsidR="002871D9" w:rsidRDefault="002871D9">
      <w:pPr>
        <w:pStyle w:val="Textocomentario"/>
      </w:pPr>
      <w:r>
        <w:rPr>
          <w:rStyle w:val="Refdecomentario"/>
        </w:rPr>
        <w:annotationRef/>
      </w:r>
      <w:r w:rsidRPr="002871D9">
        <w:t xml:space="preserve">Todo artículo debe llevar la Clasificación de la nomenclatura del </w:t>
      </w:r>
      <w:proofErr w:type="spellStart"/>
      <w:r w:rsidRPr="002871D9">
        <w:t>Journal</w:t>
      </w:r>
      <w:proofErr w:type="spellEnd"/>
      <w:r w:rsidRPr="002871D9">
        <w:t xml:space="preserve"> </w:t>
      </w:r>
      <w:proofErr w:type="spellStart"/>
      <w:r w:rsidRPr="002871D9">
        <w:t>Economic</w:t>
      </w:r>
      <w:proofErr w:type="spellEnd"/>
      <w:r w:rsidRPr="002871D9">
        <w:t xml:space="preserve"> </w:t>
      </w:r>
      <w:proofErr w:type="spellStart"/>
      <w:r w:rsidRPr="002871D9">
        <w:t>Lite</w:t>
      </w:r>
      <w:r w:rsidR="005817D0">
        <w:t>rature</w:t>
      </w:r>
      <w:proofErr w:type="spellEnd"/>
      <w:r w:rsidR="005817D0">
        <w:t xml:space="preserve"> (JEL) (Mínimo 5 códigos), deben ir separados por comas.</w:t>
      </w:r>
    </w:p>
  </w:comment>
  <w:comment w:id="9" w:author="tuptc" w:date="2017-09-19T14:22:00Z" w:initials="t">
    <w:p w:rsidR="003F222C" w:rsidRDefault="003F222C">
      <w:pPr>
        <w:pStyle w:val="Textocomentario"/>
      </w:pPr>
      <w:r>
        <w:rPr>
          <w:rStyle w:val="Refdecomentario"/>
        </w:rPr>
        <w:annotationRef/>
      </w:r>
      <w:r>
        <w:t>Por favor traducir los resúmenes lo mejor posible.</w:t>
      </w:r>
    </w:p>
  </w:comment>
  <w:comment w:id="10" w:author="tuptc" w:date="2017-09-19T16:18:00Z" w:initials="t">
    <w:p w:rsidR="009E54BA" w:rsidRPr="009E54BA" w:rsidRDefault="009E54BA">
      <w:pPr>
        <w:pStyle w:val="Textocomentario"/>
      </w:pPr>
      <w:r w:rsidRPr="009E54BA">
        <w:rPr>
          <w:rStyle w:val="Refdecomentario"/>
        </w:rPr>
        <w:annotationRef/>
      </w:r>
      <w:r w:rsidR="00D95EB0">
        <w:t>Todos los títulos</w:t>
      </w:r>
      <w:r w:rsidR="00C4711E">
        <w:t xml:space="preserve"> de primer nivel</w:t>
      </w:r>
      <w:r w:rsidR="00D95EB0">
        <w:t>, desde INRODUCCIO</w:t>
      </w:r>
      <w:r>
        <w:t>N</w:t>
      </w:r>
      <w:r w:rsidR="00FB4BB1">
        <w:t xml:space="preserve"> en adelante,</w:t>
      </w:r>
      <w:r>
        <w:t xml:space="preserve"> </w:t>
      </w:r>
      <w:r w:rsidRPr="009E54BA">
        <w:t xml:space="preserve"> deben ir en mayúscula sostenida,  TNR </w:t>
      </w:r>
      <w:proofErr w:type="spellStart"/>
      <w:r w:rsidR="00C4711E">
        <w:t>bold</w:t>
      </w:r>
      <w:proofErr w:type="spellEnd"/>
      <w:r w:rsidR="00C4711E">
        <w:t xml:space="preserve"> </w:t>
      </w:r>
      <w:r w:rsidRPr="009E54BA">
        <w:t>1</w:t>
      </w:r>
      <w:r w:rsidR="00C4711E">
        <w:t>2 puntos</w:t>
      </w:r>
      <w:r w:rsidRPr="009E54BA">
        <w:t>.</w:t>
      </w:r>
    </w:p>
  </w:comment>
  <w:comment w:id="11" w:author="tuptc" w:date="2017-09-18T16:26:00Z" w:initials="t">
    <w:p w:rsidR="009E54BA" w:rsidRDefault="009E54BA">
      <w:pPr>
        <w:pStyle w:val="Textocomentario"/>
      </w:pPr>
      <w:r>
        <w:rPr>
          <w:rStyle w:val="Refdecomentario"/>
        </w:rPr>
        <w:annotationRef/>
      </w:r>
      <w:r w:rsidRPr="009E54BA">
        <w:t>Si va a resaltar en el texto alguna palabra o frase, se recomienda  emplear letra cursiva y evitar el empleo de  negritas y comillas.</w:t>
      </w:r>
    </w:p>
  </w:comment>
  <w:comment w:id="12" w:author="tuptc" w:date="2017-09-15T15:41:00Z" w:initials="t">
    <w:p w:rsidR="00673075" w:rsidRDefault="00673075">
      <w:pPr>
        <w:pStyle w:val="Textocomentario"/>
      </w:pPr>
      <w:r>
        <w:rPr>
          <w:rStyle w:val="Refdecomentario"/>
        </w:rPr>
        <w:annotationRef/>
      </w:r>
      <w:r>
        <w:t>Ejemplo APA</w:t>
      </w:r>
    </w:p>
  </w:comment>
  <w:comment w:id="13" w:author="tuptc" w:date="2017-09-18T16:23:00Z" w:initials="t">
    <w:p w:rsidR="009E54BA" w:rsidRDefault="009E54BA">
      <w:pPr>
        <w:pStyle w:val="Textocomentario"/>
      </w:pPr>
      <w:r>
        <w:rPr>
          <w:rStyle w:val="Refdecomentario"/>
        </w:rPr>
        <w:annotationRef/>
      </w:r>
      <w:r>
        <w:t>Ejemplo APA</w:t>
      </w:r>
    </w:p>
  </w:comment>
  <w:comment w:id="14" w:author="tuptc" w:date="2017-09-18T16:54:00Z" w:initials="t">
    <w:p w:rsidR="00FB4BB1" w:rsidRDefault="00FB4BB1">
      <w:pPr>
        <w:pStyle w:val="Textocomentario"/>
      </w:pPr>
      <w:r>
        <w:rPr>
          <w:rStyle w:val="Refdecomentario"/>
        </w:rPr>
        <w:annotationRef/>
      </w:r>
      <w:r>
        <w:t>Ejemplo APA</w:t>
      </w:r>
    </w:p>
  </w:comment>
  <w:comment w:id="15" w:author="tuptc" w:date="2017-09-18T16:32:00Z" w:initials="t">
    <w:p w:rsidR="009E54BA" w:rsidRDefault="009E54BA">
      <w:pPr>
        <w:pStyle w:val="Textocomentario"/>
      </w:pPr>
      <w:r>
        <w:rPr>
          <w:rStyle w:val="Refdecomentario"/>
        </w:rPr>
        <w:annotationRef/>
      </w:r>
      <w:r>
        <w:t>Ejemplo APA</w:t>
      </w:r>
    </w:p>
  </w:comment>
  <w:comment w:id="16" w:author="tuptc" w:date="2017-09-19T14:16:00Z" w:initials="t">
    <w:p w:rsidR="00586DBF" w:rsidRDefault="00586DBF">
      <w:pPr>
        <w:pStyle w:val="Textocomentario"/>
      </w:pPr>
      <w:r>
        <w:rPr>
          <w:rStyle w:val="Refdecomentario"/>
        </w:rPr>
        <w:annotationRef/>
      </w:r>
      <w:r>
        <w:t>Ejemplo APA</w:t>
      </w:r>
    </w:p>
  </w:comment>
  <w:comment w:id="17" w:author="tuptc" w:date="2017-09-19T16:21:00Z" w:initials="t">
    <w:p w:rsidR="00586DBF" w:rsidRDefault="00586DBF">
      <w:pPr>
        <w:pStyle w:val="Textocomentario"/>
      </w:pPr>
      <w:r>
        <w:rPr>
          <w:rStyle w:val="Refdecomentario"/>
        </w:rPr>
        <w:annotationRef/>
      </w:r>
      <w:r>
        <w:t xml:space="preserve">El </w:t>
      </w:r>
      <w:r w:rsidR="00A6494D">
        <w:t>último</w:t>
      </w:r>
      <w:r>
        <w:t xml:space="preserve">  párrafo de la INTRODUCCIÓN debe explicar la distribución del artículo</w:t>
      </w:r>
    </w:p>
  </w:comment>
  <w:comment w:id="18" w:author="tuptc" w:date="2017-09-19T15:57:00Z" w:initials="t">
    <w:p w:rsidR="00D95EB0" w:rsidRDefault="00D95EB0">
      <w:pPr>
        <w:pStyle w:val="Textocomentario"/>
      </w:pPr>
      <w:r>
        <w:rPr>
          <w:rStyle w:val="Refdecomentario"/>
        </w:rPr>
        <w:annotationRef/>
      </w:r>
      <w:r>
        <w:t>Ejemplo de título de primer nivel</w:t>
      </w:r>
    </w:p>
  </w:comment>
  <w:comment w:id="19" w:author="tuptc" w:date="2017-09-18T16:37:00Z" w:initials="t">
    <w:p w:rsidR="00F75609" w:rsidRDefault="00F75609">
      <w:pPr>
        <w:pStyle w:val="Textocomentario"/>
      </w:pPr>
      <w:r>
        <w:rPr>
          <w:rStyle w:val="Refdecomentario"/>
        </w:rPr>
        <w:annotationRef/>
      </w:r>
      <w:r>
        <w:t>Ejemplo APA</w:t>
      </w:r>
    </w:p>
  </w:comment>
  <w:comment w:id="20" w:author="tuptc" w:date="2017-09-19T15:56:00Z" w:initials="t">
    <w:p w:rsidR="00D95EB0" w:rsidRDefault="00D95EB0">
      <w:pPr>
        <w:pStyle w:val="Textocomentario"/>
      </w:pPr>
      <w:r>
        <w:rPr>
          <w:rStyle w:val="Refdecomentario"/>
        </w:rPr>
        <w:annotationRef/>
      </w:r>
      <w:r>
        <w:t>Ejemplo APA</w:t>
      </w:r>
    </w:p>
  </w:comment>
  <w:comment w:id="21" w:author="tuptc" w:date="2017-09-18T16:45:00Z" w:initials="t">
    <w:p w:rsidR="00F75609" w:rsidRDefault="00F75609">
      <w:pPr>
        <w:pStyle w:val="Textocomentario"/>
      </w:pPr>
      <w:r>
        <w:rPr>
          <w:rStyle w:val="Refdecomentario"/>
        </w:rPr>
        <w:annotationRef/>
      </w:r>
      <w:r>
        <w:t xml:space="preserve">Los títulos de segundo nivel deben ir en negrilla  y con </w:t>
      </w:r>
      <w:r w:rsidR="005817D0">
        <w:t>m</w:t>
      </w:r>
      <w:r>
        <w:t>ayúscula inicial.</w:t>
      </w:r>
    </w:p>
  </w:comment>
  <w:comment w:id="22" w:author="tuptc" w:date="2017-09-18T16:35:00Z" w:initials="t">
    <w:p w:rsidR="00F75609" w:rsidRDefault="00F75609">
      <w:pPr>
        <w:pStyle w:val="Textocomentario"/>
      </w:pPr>
      <w:r>
        <w:rPr>
          <w:rStyle w:val="Refdecomentario"/>
        </w:rPr>
        <w:annotationRef/>
      </w:r>
      <w:r>
        <w:t>Ejemplo APA</w:t>
      </w:r>
    </w:p>
  </w:comment>
  <w:comment w:id="23" w:author="tuptc" w:date="2017-09-19T16:07:00Z" w:initials="t">
    <w:p w:rsidR="003D2712" w:rsidRDefault="003D2712">
      <w:pPr>
        <w:pStyle w:val="Textocomentario"/>
      </w:pPr>
      <w:r>
        <w:rPr>
          <w:rStyle w:val="Refdecomentario"/>
        </w:rPr>
        <w:annotationRef/>
      </w:r>
      <w:r w:rsidRPr="003F222C">
        <w:t>Las notas de pie de página serán, únicamente, de carácter  aclaratorio o explicativo, no deben incluir referencias bibliográficas.</w:t>
      </w:r>
      <w:r w:rsidR="00DE2158">
        <w:t xml:space="preserve"> TNR 10 </w:t>
      </w:r>
      <w:proofErr w:type="spellStart"/>
      <w:r w:rsidR="00DE2158">
        <w:t>pto</w:t>
      </w:r>
      <w:proofErr w:type="spellEnd"/>
      <w:r w:rsidR="00DE2158">
        <w:t>.</w:t>
      </w:r>
    </w:p>
  </w:comment>
  <w:comment w:id="24" w:author="tuptc" w:date="2017-09-19T16:01:00Z" w:initials="t">
    <w:p w:rsidR="003D2712" w:rsidRDefault="003D2712">
      <w:pPr>
        <w:pStyle w:val="Textocomentario"/>
      </w:pPr>
      <w:r>
        <w:rPr>
          <w:rStyle w:val="Refdecomentario"/>
        </w:rPr>
        <w:annotationRef/>
      </w:r>
      <w:r w:rsidRPr="003D2712">
        <w:t>Los símbolos matemáticos deben ser claros y  legibles. Los subíndices y superíndices deben estar correctamente digitados.</w:t>
      </w:r>
    </w:p>
  </w:comment>
  <w:comment w:id="25" w:author="tuptc" w:date="2017-09-18T16:54:00Z" w:initials="t">
    <w:p w:rsidR="009E54BA" w:rsidRDefault="009E54BA">
      <w:pPr>
        <w:pStyle w:val="Textocomentario"/>
      </w:pPr>
      <w:r>
        <w:rPr>
          <w:rStyle w:val="Refdecomentario"/>
        </w:rPr>
        <w:annotationRef/>
      </w:r>
      <w:r w:rsidRPr="009E54BA">
        <w:t xml:space="preserve">Las ecuaciones deben estar numeradas de manera consecutiva </w:t>
      </w:r>
      <w:r w:rsidR="00FB4BB1">
        <w:t xml:space="preserve"> </w:t>
      </w:r>
      <w:r w:rsidRPr="009E54BA">
        <w:t>y  entre corchetes ([1], [2], [3]...). Esta numeración debe estar alineada a la derecha de la página.</w:t>
      </w:r>
    </w:p>
  </w:comment>
  <w:comment w:id="26" w:author="tuptc" w:date="2017-09-18T16:42:00Z" w:initials="t">
    <w:p w:rsidR="005817D0" w:rsidRDefault="005817D0">
      <w:pPr>
        <w:pStyle w:val="Textocomentario"/>
      </w:pPr>
      <w:r>
        <w:rPr>
          <w:rStyle w:val="Refdecomentario"/>
        </w:rPr>
        <w:annotationRef/>
      </w:r>
      <w:r>
        <w:t>Todas las tablas deben ir numeradas secuencialmente.</w:t>
      </w:r>
    </w:p>
  </w:comment>
  <w:comment w:id="27" w:author="tuptc" w:date="2017-09-19T14:34:00Z" w:initials="t">
    <w:p w:rsidR="008A20E8" w:rsidRDefault="008A20E8">
      <w:pPr>
        <w:pStyle w:val="Textocomentario"/>
      </w:pPr>
      <w:r>
        <w:rPr>
          <w:rStyle w:val="Refdecomentario"/>
        </w:rPr>
        <w:annotationRef/>
      </w:r>
      <w:r w:rsidR="003E09D7" w:rsidRPr="003E09D7">
        <w:t xml:space="preserve">La declaración de </w:t>
      </w:r>
      <w:r w:rsidR="003E09D7">
        <w:t>“Tabla”</w:t>
      </w:r>
      <w:r w:rsidR="003E09D7" w:rsidRPr="003E09D7">
        <w:t xml:space="preserve"> </w:t>
      </w:r>
      <w:r w:rsidR="003E09D7">
        <w:t xml:space="preserve"> en TNR 10</w:t>
      </w:r>
      <w:r w:rsidR="003E09D7" w:rsidRPr="003E09D7">
        <w:t xml:space="preserve">, negrita y </w:t>
      </w:r>
      <w:r w:rsidR="003E09D7">
        <w:t>centrado</w:t>
      </w:r>
      <w:r w:rsidR="003E09D7" w:rsidRPr="003E09D7">
        <w:t>. Sólo la primera letra es mayúscula.</w:t>
      </w:r>
    </w:p>
  </w:comment>
  <w:comment w:id="28" w:author="tuptc" w:date="2017-09-19T16:25:00Z" w:initials="t">
    <w:p w:rsidR="003E09D7" w:rsidRDefault="003E09D7">
      <w:pPr>
        <w:pStyle w:val="Textocomentario"/>
      </w:pPr>
      <w:r>
        <w:rPr>
          <w:rStyle w:val="Refdecomentario"/>
        </w:rPr>
        <w:annotationRef/>
      </w:r>
      <w:r>
        <w:t>La</w:t>
      </w:r>
      <w:r w:rsidR="00C33D26">
        <w:t xml:space="preserve"> f</w:t>
      </w:r>
      <w:r>
        <w:t>uente</w:t>
      </w:r>
      <w:r w:rsidR="00C33D26">
        <w:t xml:space="preserve"> será</w:t>
      </w:r>
      <w:r>
        <w:t xml:space="preserve"> </w:t>
      </w:r>
      <w:r w:rsidR="00C4711E">
        <w:t xml:space="preserve">TNR 10 puntos </w:t>
      </w:r>
      <w:r>
        <w:t xml:space="preserve"> para toda información alfa numérica dentro de la</w:t>
      </w:r>
      <w:r w:rsidR="00C4711E">
        <w:t>s</w:t>
      </w:r>
      <w:r>
        <w:t xml:space="preserve"> tabla</w:t>
      </w:r>
      <w:r w:rsidR="00C4711E">
        <w:t>s</w:t>
      </w:r>
      <w:r>
        <w:t>.</w:t>
      </w:r>
    </w:p>
  </w:comment>
  <w:comment w:id="29" w:author="tuptc" w:date="2017-09-19T16:24:00Z" w:initials="t">
    <w:p w:rsidR="005817D0" w:rsidRDefault="005817D0">
      <w:pPr>
        <w:pStyle w:val="Textocomentario"/>
      </w:pPr>
      <w:r>
        <w:rPr>
          <w:rStyle w:val="Refdecomentario"/>
        </w:rPr>
        <w:annotationRef/>
      </w:r>
      <w:r w:rsidRPr="005817D0">
        <w:t>las abreviaturas</w:t>
      </w:r>
      <w:r w:rsidR="00C4711E">
        <w:t xml:space="preserve">, </w:t>
      </w:r>
      <w:r>
        <w:t xml:space="preserve"> demás notas </w:t>
      </w:r>
      <w:r w:rsidRPr="005817D0">
        <w:t xml:space="preserve">utilizadas </w:t>
      </w:r>
      <w:r w:rsidR="00C4711E">
        <w:t>y fuente</w:t>
      </w:r>
      <w:r w:rsidRPr="005817D0">
        <w:t xml:space="preserve"> deberán aclararse en </w:t>
      </w:r>
      <w:r>
        <w:t>esta sección</w:t>
      </w:r>
      <w:r w:rsidR="003E09D7">
        <w:t xml:space="preserve">. </w:t>
      </w:r>
      <w:r w:rsidR="00C33D26">
        <w:t>TNR 10</w:t>
      </w:r>
      <w:r w:rsidR="003E09D7">
        <w:t>.</w:t>
      </w:r>
    </w:p>
  </w:comment>
  <w:comment w:id="30" w:author="tuptc" w:date="2017-09-19T16:08:00Z" w:initials="t">
    <w:p w:rsidR="003E09D7" w:rsidRDefault="003E09D7">
      <w:pPr>
        <w:pStyle w:val="Textocomentario"/>
      </w:pPr>
      <w:r>
        <w:rPr>
          <w:rStyle w:val="Refdecomentario"/>
        </w:rPr>
        <w:annotationRef/>
      </w:r>
      <w:r>
        <w:t xml:space="preserve">Ejemplo de título de segundo </w:t>
      </w:r>
      <w:r w:rsidR="00DE2158">
        <w:t>nivel (</w:t>
      </w:r>
      <w:r>
        <w:t>si existe</w:t>
      </w:r>
      <w:r w:rsidR="00DE2158">
        <w:t>n títulos de tercer nivel</w:t>
      </w:r>
      <w:r>
        <w:t xml:space="preserve"> debe ir en cursiva </w:t>
      </w:r>
      <w:r w:rsidR="00DE2158">
        <w:t>y mayúscula inicial).</w:t>
      </w:r>
    </w:p>
  </w:comment>
  <w:comment w:id="31" w:author="tuptc" w:date="2017-09-19T14:33:00Z" w:initials="t">
    <w:p w:rsidR="005817D0" w:rsidRDefault="005817D0">
      <w:pPr>
        <w:pStyle w:val="Textocomentario"/>
      </w:pPr>
      <w:r>
        <w:rPr>
          <w:rStyle w:val="Refdecomentario"/>
        </w:rPr>
        <w:annotationRef/>
      </w:r>
      <w:r w:rsidRPr="005817D0">
        <w:t>Todos los gráficos</w:t>
      </w:r>
      <w:r>
        <w:t xml:space="preserve">, figuras, mapas diagramas, etc., </w:t>
      </w:r>
      <w:r w:rsidRPr="005817D0">
        <w:t xml:space="preserve"> deben </w:t>
      </w:r>
      <w:r>
        <w:t>i</w:t>
      </w:r>
      <w:r w:rsidRPr="005817D0">
        <w:t xml:space="preserve">r enumerados secuencialmente. La declaración de 'Gráfico'  TNR 10, negrita y </w:t>
      </w:r>
      <w:r w:rsidR="003E09D7">
        <w:t>centrado</w:t>
      </w:r>
      <w:r w:rsidRPr="005817D0">
        <w:t>. Sólo la primera letra es mayúscula.</w:t>
      </w:r>
    </w:p>
  </w:comment>
  <w:comment w:id="32" w:author="tuptc" w:date="2017-09-19T14:39:00Z" w:initials="t">
    <w:p w:rsidR="003E09D7" w:rsidRDefault="003E09D7">
      <w:pPr>
        <w:pStyle w:val="Textocomentario"/>
      </w:pPr>
      <w:r>
        <w:rPr>
          <w:rStyle w:val="Refdecomentario"/>
        </w:rPr>
        <w:annotationRef/>
      </w:r>
      <w:r>
        <w:t>Ejemplo APA, artículo revista científica, múltiples autores con DOI.</w:t>
      </w:r>
    </w:p>
  </w:comment>
  <w:comment w:id="33" w:author="tuptc" w:date="2017-09-19T16:24:00Z" w:initials="t">
    <w:p w:rsidR="00E773F4" w:rsidRDefault="00E773F4">
      <w:pPr>
        <w:pStyle w:val="Textocomentario"/>
      </w:pPr>
      <w:r>
        <w:rPr>
          <w:rStyle w:val="Refdecomentario"/>
        </w:rPr>
        <w:annotationRef/>
      </w:r>
      <w:r w:rsidRPr="00E773F4">
        <w:t xml:space="preserve">Si </w:t>
      </w:r>
      <w:r>
        <w:t>un artículo tiene</w:t>
      </w:r>
      <w:r w:rsidRPr="00E773F4">
        <w:t xml:space="preserve"> DOI debe ser incluido obligatoriamente</w:t>
      </w:r>
    </w:p>
  </w:comment>
  <w:comment w:id="34" w:author="tuptc" w:date="2017-09-19T14:41:00Z" w:initials="t">
    <w:p w:rsidR="003D3108" w:rsidRDefault="003D3108">
      <w:pPr>
        <w:pStyle w:val="Textocomentario"/>
      </w:pPr>
      <w:r>
        <w:rPr>
          <w:rStyle w:val="Refdecomentario"/>
        </w:rPr>
        <w:annotationRef/>
      </w:r>
      <w:r>
        <w:t>Ejemplo APA para artículo científico por un autor.</w:t>
      </w:r>
    </w:p>
  </w:comment>
  <w:comment w:id="35" w:author="tuptc" w:date="2017-09-19T14:47:00Z" w:initials="t">
    <w:p w:rsidR="003E09D7" w:rsidRDefault="003E09D7">
      <w:pPr>
        <w:pStyle w:val="Textocomentario"/>
      </w:pPr>
      <w:r>
        <w:rPr>
          <w:rStyle w:val="Refdecomentario"/>
        </w:rPr>
        <w:annotationRef/>
      </w:r>
      <w:r w:rsidR="003D3108">
        <w:t>Ejemplo</w:t>
      </w:r>
      <w:r>
        <w:t xml:space="preserve"> APA para </w:t>
      </w:r>
      <w:r w:rsidR="003D3108">
        <w:t>diccionario,</w:t>
      </w:r>
      <w:r>
        <w:t xml:space="preserve"> por un autor.</w:t>
      </w:r>
    </w:p>
  </w:comment>
  <w:comment w:id="36" w:author="tuptc" w:date="2017-09-19T14:42:00Z" w:initials="t">
    <w:p w:rsidR="003D3108" w:rsidRDefault="003D3108">
      <w:pPr>
        <w:pStyle w:val="Textocomentario"/>
      </w:pPr>
      <w:r>
        <w:rPr>
          <w:rStyle w:val="Refdecomentario"/>
        </w:rPr>
        <w:annotationRef/>
      </w:r>
      <w:r>
        <w:t>Ejemplo APA, artículo revista científica, múltiples autores con DOI.</w:t>
      </w:r>
    </w:p>
  </w:comment>
  <w:comment w:id="37" w:author="tuptc" w:date="2017-09-19T14:43:00Z" w:initials="t">
    <w:p w:rsidR="003D3108" w:rsidRDefault="003D3108">
      <w:pPr>
        <w:pStyle w:val="Textocomentario"/>
      </w:pPr>
      <w:r>
        <w:rPr>
          <w:rStyle w:val="Refdecomentario"/>
        </w:rPr>
        <w:annotationRef/>
      </w:r>
      <w:r w:rsidRPr="003D3108">
        <w:t xml:space="preserve">Ejemplo APA, artículo revista científica, </w:t>
      </w:r>
      <w:r>
        <w:t>dos autores recuperado de una página Web.</w:t>
      </w:r>
    </w:p>
  </w:comment>
  <w:comment w:id="38" w:author="tuptc" w:date="2017-09-19T15:03:00Z" w:initials="t">
    <w:p w:rsidR="003D3108" w:rsidRDefault="003D3108">
      <w:pPr>
        <w:pStyle w:val="Textocomentario"/>
      </w:pPr>
      <w:r>
        <w:rPr>
          <w:rStyle w:val="Refdecomentario"/>
        </w:rPr>
        <w:annotationRef/>
      </w:r>
      <w:r>
        <w:t xml:space="preserve">Ejemplo APA capítulo de libro </w:t>
      </w:r>
      <w:r w:rsidR="009B51B5">
        <w:t>por varios autores.</w:t>
      </w:r>
    </w:p>
  </w:comment>
  <w:comment w:id="39" w:author="tuptc" w:date="2017-09-19T15:02:00Z" w:initials="t">
    <w:p w:rsidR="003D3108" w:rsidRDefault="003D3108">
      <w:pPr>
        <w:pStyle w:val="Textocomentario"/>
      </w:pPr>
      <w:r>
        <w:rPr>
          <w:rStyle w:val="Refdecomentario"/>
        </w:rPr>
        <w:annotationRef/>
      </w:r>
      <w:r>
        <w:t>Ejemplo APA libro publicado con DOI</w:t>
      </w:r>
      <w:r w:rsidR="009B51B5">
        <w:t>, varios autores</w:t>
      </w:r>
    </w:p>
  </w:comment>
  <w:comment w:id="40" w:author="tuptc" w:date="2017-09-19T14:51:00Z" w:initials="t">
    <w:p w:rsidR="003D3108" w:rsidRDefault="003D3108">
      <w:pPr>
        <w:pStyle w:val="Textocomentario"/>
      </w:pPr>
      <w:r>
        <w:rPr>
          <w:rStyle w:val="Refdecomentario"/>
        </w:rPr>
        <w:annotationRef/>
      </w:r>
      <w:r w:rsidR="00E773F4">
        <w:t>Eje</w:t>
      </w:r>
      <w:r>
        <w:t>mplo APA de libro escrito por un autor, nueva edición</w:t>
      </w:r>
    </w:p>
  </w:comment>
  <w:comment w:id="41" w:author="tuptc" w:date="2017-09-19T14:58:00Z" w:initials="t">
    <w:p w:rsidR="00E773F4" w:rsidRDefault="00E773F4">
      <w:pPr>
        <w:pStyle w:val="Textocomentario"/>
      </w:pPr>
      <w:r>
        <w:rPr>
          <w:rStyle w:val="Refdecomentario"/>
        </w:rPr>
        <w:annotationRef/>
      </w:r>
      <w:r>
        <w:t>Ejemplo AP</w:t>
      </w:r>
      <w:r>
        <w:t>A de libro escrito por un autor.</w:t>
      </w:r>
    </w:p>
  </w:comment>
  <w:comment w:id="42" w:author="tuptc" w:date="2017-09-19T15:02:00Z" w:initials="t">
    <w:p w:rsidR="009B51B5" w:rsidRDefault="009B51B5">
      <w:pPr>
        <w:pStyle w:val="Textocomentario"/>
      </w:pPr>
      <w:r>
        <w:rPr>
          <w:rStyle w:val="Refdecomentario"/>
        </w:rPr>
        <w:annotationRef/>
      </w:r>
      <w:r w:rsidRPr="009B51B5">
        <w:t xml:space="preserve">Ejemplo APA, artículo de revista científica, </w:t>
      </w:r>
      <w:r>
        <w:t xml:space="preserve">un solo </w:t>
      </w:r>
      <w:r w:rsidRPr="009B51B5">
        <w:t xml:space="preserve"> auto</w:t>
      </w:r>
      <w:r>
        <w:t>r</w:t>
      </w:r>
      <w:r w:rsidRPr="009B51B5">
        <w:t xml:space="preserve"> con DOI</w:t>
      </w:r>
    </w:p>
  </w:comment>
  <w:comment w:id="43" w:author="tuptc" w:date="2017-09-19T15:53:00Z" w:initials="t">
    <w:p w:rsidR="00AF2DC6" w:rsidRDefault="00AF2DC6">
      <w:pPr>
        <w:pStyle w:val="Textocomentario"/>
      </w:pPr>
      <w:r>
        <w:rPr>
          <w:rStyle w:val="Refdecomentario"/>
        </w:rPr>
        <w:annotationRef/>
      </w:r>
      <w:r>
        <w:t xml:space="preserve">Ejemplo APA de un </w:t>
      </w:r>
      <w:proofErr w:type="spellStart"/>
      <w:r>
        <w:t>paper</w:t>
      </w:r>
      <w:proofErr w:type="spellEnd"/>
      <w:r>
        <w:t xml:space="preserve"> presentado en una conferencia</w:t>
      </w:r>
    </w:p>
  </w:comment>
  <w:comment w:id="44" w:author="tuptc" w:date="2017-09-19T15:54:00Z" w:initials="t">
    <w:p w:rsidR="009B51B5" w:rsidRDefault="009B51B5">
      <w:pPr>
        <w:pStyle w:val="Textocomentario"/>
      </w:pPr>
      <w:r>
        <w:rPr>
          <w:rStyle w:val="Refdecomentario"/>
        </w:rPr>
        <w:annotationRef/>
      </w:r>
      <w:r w:rsidRPr="009B51B5">
        <w:t xml:space="preserve">Ejemplo APA de </w:t>
      </w:r>
      <w:r w:rsidR="00AF2DC6">
        <w:t xml:space="preserve"> nuevo </w:t>
      </w:r>
      <w:r w:rsidRPr="009B51B5">
        <w:t xml:space="preserve">libro </w:t>
      </w:r>
      <w:r w:rsidR="00AF2DC6">
        <w:t xml:space="preserve">editado </w:t>
      </w:r>
      <w:r w:rsidRPr="009B51B5">
        <w:t xml:space="preserve">escrito por </w:t>
      </w:r>
      <w:r>
        <w:t>dos</w:t>
      </w:r>
      <w:r w:rsidRPr="009B51B5">
        <w:t xml:space="preserve"> autor</w:t>
      </w:r>
      <w:r w:rsidR="00AF2DC6">
        <w:t>es.</w:t>
      </w:r>
    </w:p>
  </w:comment>
  <w:comment w:id="45" w:author="tuptc" w:date="2017-09-19T15:10:00Z" w:initials="t">
    <w:p w:rsidR="009B51B5" w:rsidRDefault="009B51B5">
      <w:pPr>
        <w:pStyle w:val="Textocomentario"/>
      </w:pPr>
      <w:r>
        <w:rPr>
          <w:rStyle w:val="Refdecomentario"/>
        </w:rPr>
        <w:annotationRef/>
      </w:r>
      <w:r>
        <w:t>Ejemplo APA capítulo de libro.</w:t>
      </w:r>
    </w:p>
  </w:comment>
  <w:comment w:id="46" w:author="tuptc" w:date="2017-09-19T15:39:00Z" w:initials="t">
    <w:p w:rsidR="00356467" w:rsidRDefault="00356467">
      <w:pPr>
        <w:pStyle w:val="Textocomentario"/>
      </w:pPr>
      <w:r>
        <w:rPr>
          <w:rStyle w:val="Refdecomentario"/>
        </w:rPr>
        <w:annotationRef/>
      </w:r>
      <w:r w:rsidRPr="00356467">
        <w:t>Ejem</w:t>
      </w:r>
      <w:r>
        <w:t>plo APA de libro escrito por un</w:t>
      </w:r>
      <w:r w:rsidRPr="00356467">
        <w:t xml:space="preserve"> autor</w:t>
      </w:r>
    </w:p>
  </w:comment>
  <w:comment w:id="47" w:author="tuptc" w:date="2017-09-19T15:40:00Z" w:initials="t">
    <w:p w:rsidR="00356467" w:rsidRDefault="00356467">
      <w:pPr>
        <w:pStyle w:val="Textocomentario"/>
      </w:pPr>
      <w:r>
        <w:rPr>
          <w:rStyle w:val="Refdecomentario"/>
        </w:rPr>
        <w:annotationRef/>
      </w:r>
      <w:r w:rsidRPr="00356467">
        <w:t>Ejemplo APA, artículo de revista científica, múltiples autores con DOI</w:t>
      </w:r>
    </w:p>
  </w:comment>
  <w:comment w:id="48" w:author="tuptc" w:date="2017-09-19T15:42:00Z" w:initials="t">
    <w:p w:rsidR="00356467" w:rsidRDefault="00356467">
      <w:pPr>
        <w:pStyle w:val="Textocomentario"/>
      </w:pPr>
      <w:r>
        <w:rPr>
          <w:rStyle w:val="Refdecomentario"/>
        </w:rPr>
        <w:annotationRef/>
      </w:r>
      <w:r>
        <w:t>Ejemplo APA capítulo de libro con DOI</w:t>
      </w:r>
    </w:p>
  </w:comment>
  <w:comment w:id="49" w:author="tuptc" w:date="2017-09-19T15:43:00Z" w:initials="t">
    <w:p w:rsidR="00356467" w:rsidRDefault="00356467">
      <w:pPr>
        <w:pStyle w:val="Textocomentario"/>
      </w:pPr>
      <w:r>
        <w:rPr>
          <w:rStyle w:val="Refdecomentario"/>
        </w:rPr>
        <w:annotationRef/>
      </w:r>
      <w:r w:rsidRPr="00356467">
        <w:t>Ejemplo APA de libro</w:t>
      </w:r>
      <w:r>
        <w:t xml:space="preserve"> escrito por dos autores, última edición</w:t>
      </w:r>
      <w:r w:rsidRPr="00356467">
        <w:t>.</w:t>
      </w:r>
    </w:p>
  </w:comment>
  <w:comment w:id="50" w:author="tuptc" w:date="2017-09-19T15:47:00Z" w:initials="t">
    <w:p w:rsidR="00356467" w:rsidRDefault="00356467">
      <w:pPr>
        <w:pStyle w:val="Textocomentario"/>
      </w:pPr>
      <w:r>
        <w:rPr>
          <w:rStyle w:val="Refdecomentario"/>
        </w:rPr>
        <w:annotationRef/>
      </w:r>
      <w:r>
        <w:t>Ejemplo APA de libro escrito por un autor publicado por una institución</w:t>
      </w:r>
    </w:p>
  </w:comment>
  <w:comment w:id="51" w:author="tuptc" w:date="2017-09-19T15:52:00Z" w:initials="t">
    <w:p w:rsidR="00AF2DC6" w:rsidRDefault="00AF2DC6">
      <w:pPr>
        <w:pStyle w:val="Textocomentario"/>
      </w:pPr>
      <w:r>
        <w:rPr>
          <w:rStyle w:val="Refdecomentario"/>
        </w:rPr>
        <w:annotationRef/>
      </w:r>
      <w:r>
        <w:rPr>
          <w:rStyle w:val="Refdecomentario"/>
        </w:rPr>
        <w:t>Ejemplo APA de una tesis doctoral</w:t>
      </w:r>
    </w:p>
  </w:comment>
  <w:comment w:id="52" w:author="tuptc" w:date="2017-09-19T15:48:00Z" w:initials="t">
    <w:p w:rsidR="00AF2DC6" w:rsidRDefault="00AF2DC6">
      <w:pPr>
        <w:pStyle w:val="Textocomentario"/>
      </w:pPr>
      <w:r>
        <w:rPr>
          <w:rStyle w:val="Refdecomentario"/>
        </w:rPr>
        <w:annotationRef/>
      </w:r>
      <w:r w:rsidRPr="00AF2DC6">
        <w:t>Ejemplo APA de libro escrito por dos autores</w:t>
      </w:r>
      <w:r>
        <w:t>.</w:t>
      </w:r>
    </w:p>
  </w:comment>
  <w:comment w:id="53" w:author="tuptc" w:date="2017-09-19T16:24:00Z" w:initials="t">
    <w:p w:rsidR="00E773F4" w:rsidRDefault="00E773F4">
      <w:pPr>
        <w:pStyle w:val="Textocomentario"/>
      </w:pPr>
      <w:r>
        <w:rPr>
          <w:rStyle w:val="Refdecomentario"/>
        </w:rPr>
        <w:annotationRef/>
      </w:r>
      <w:r>
        <w:t>Ejemplo APA de fuente Web sin fecha</w:t>
      </w:r>
      <w:r w:rsidR="00AF2DC6">
        <w:t xml:space="preserve">, </w:t>
      </w:r>
      <w:r w:rsidR="00C33D26">
        <w:t>anónimo</w:t>
      </w:r>
      <w:r w:rsidR="00AF2DC6">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45" w:rsidRDefault="002A6545" w:rsidP="00A219B8">
      <w:r>
        <w:separator/>
      </w:r>
    </w:p>
  </w:endnote>
  <w:endnote w:type="continuationSeparator" w:id="0">
    <w:p w:rsidR="002A6545" w:rsidRDefault="002A6545" w:rsidP="00A2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D9" w:rsidRDefault="002871D9" w:rsidP="00133A12"/>
  <w:p w:rsidR="002871D9" w:rsidRDefault="002871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45" w:rsidRDefault="002A6545" w:rsidP="00A219B8">
      <w:r>
        <w:separator/>
      </w:r>
    </w:p>
  </w:footnote>
  <w:footnote w:type="continuationSeparator" w:id="0">
    <w:p w:rsidR="002A6545" w:rsidRDefault="002A6545" w:rsidP="00A219B8">
      <w:r>
        <w:continuationSeparator/>
      </w:r>
    </w:p>
  </w:footnote>
  <w:footnote w:id="1">
    <w:p w:rsidR="003D2712" w:rsidRPr="003D2712" w:rsidRDefault="003D2712">
      <w:pPr>
        <w:pStyle w:val="Textonotapie"/>
      </w:pPr>
      <w:r>
        <w:rPr>
          <w:rStyle w:val="Refdenotaalpie"/>
        </w:rPr>
        <w:footnoteRef/>
      </w:r>
      <w:r>
        <w:t xml:space="preserve"> </w:t>
      </w:r>
      <w:r>
        <w:rPr>
          <w:rFonts w:ascii="Times New Roman" w:hAnsi="Times New Roman" w:cs="Times New Roman"/>
          <w:sz w:val="20"/>
        </w:rPr>
        <w:t xml:space="preserve">Variable </w:t>
      </w:r>
      <w:proofErr w:type="spellStart"/>
      <w:r>
        <w:rPr>
          <w:rFonts w:ascii="Times New Roman" w:hAnsi="Times New Roman" w:cs="Times New Roman"/>
          <w:sz w:val="20"/>
        </w:rPr>
        <w:t>Returns</w:t>
      </w:r>
      <w:proofErr w:type="spellEnd"/>
      <w:r>
        <w:rPr>
          <w:rFonts w:ascii="Times New Roman" w:hAnsi="Times New Roman" w:cs="Times New Roman"/>
          <w:sz w:val="20"/>
        </w:rPr>
        <w:t xml:space="preserve"> </w:t>
      </w:r>
      <w:proofErr w:type="spellStart"/>
      <w:r>
        <w:rPr>
          <w:rFonts w:ascii="Times New Roman" w:hAnsi="Times New Roman" w:cs="Times New Roman"/>
          <w:sz w:val="20"/>
        </w:rPr>
        <w:t>to</w:t>
      </w:r>
      <w:proofErr w:type="spellEnd"/>
      <w:r>
        <w:rPr>
          <w:rFonts w:ascii="Times New Roman" w:hAnsi="Times New Roman" w:cs="Times New Roman"/>
          <w:sz w:val="20"/>
        </w:rPr>
        <w:t xml:space="preserve"> </w:t>
      </w:r>
      <w:proofErr w:type="spellStart"/>
      <w:r>
        <w:rPr>
          <w:rFonts w:ascii="Times New Roman" w:hAnsi="Times New Roman" w:cs="Times New Roman"/>
          <w:sz w:val="20"/>
        </w:rPr>
        <w:t>Scale</w:t>
      </w:r>
      <w:proofErr w:type="spellEnd"/>
    </w:p>
  </w:footnote>
  <w:footnote w:id="2">
    <w:p w:rsidR="003F222C" w:rsidRPr="003F222C" w:rsidRDefault="003F222C">
      <w:pPr>
        <w:pStyle w:val="Textonotapie"/>
        <w:rPr>
          <w:lang w:val="es-CO"/>
        </w:rPr>
      </w:pPr>
      <w:r>
        <w:rPr>
          <w:rStyle w:val="Refdenotaalpie"/>
        </w:rPr>
        <w:footnoteRef/>
      </w:r>
      <w:r>
        <w:t xml:space="preserve"> </w:t>
      </w:r>
      <w:proofErr w:type="spellStart"/>
      <w:r w:rsidRPr="003F222C">
        <w:rPr>
          <w:rFonts w:ascii="Times New Roman" w:hAnsi="Times New Roman" w:cs="Times New Roman"/>
          <w:sz w:val="20"/>
          <w:szCs w:val="20"/>
        </w:rPr>
        <w:t>Decision</w:t>
      </w:r>
      <w:proofErr w:type="spellEnd"/>
      <w:r w:rsidRPr="003F222C">
        <w:rPr>
          <w:rFonts w:ascii="Times New Roman" w:hAnsi="Times New Roman" w:cs="Times New Roman"/>
          <w:sz w:val="20"/>
          <w:szCs w:val="20"/>
        </w:rPr>
        <w:t xml:space="preserve"> </w:t>
      </w:r>
      <w:proofErr w:type="spellStart"/>
      <w:r w:rsidRPr="003F222C">
        <w:rPr>
          <w:rFonts w:ascii="Times New Roman" w:hAnsi="Times New Roman" w:cs="Times New Roman"/>
          <w:sz w:val="20"/>
          <w:szCs w:val="20"/>
        </w:rPr>
        <w:t>Making</w:t>
      </w:r>
      <w:proofErr w:type="spellEnd"/>
      <w:r w:rsidRPr="003F222C">
        <w:rPr>
          <w:rFonts w:ascii="Times New Roman" w:hAnsi="Times New Roman" w:cs="Times New Roman"/>
          <w:sz w:val="20"/>
          <w:szCs w:val="20"/>
        </w:rPr>
        <w:t xml:space="preserve"> </w:t>
      </w:r>
      <w:proofErr w:type="spellStart"/>
      <w:r w:rsidRPr="003F222C">
        <w:rPr>
          <w:rFonts w:ascii="Times New Roman" w:hAnsi="Times New Roman" w:cs="Times New Roman"/>
          <w:sz w:val="20"/>
          <w:szCs w:val="20"/>
        </w:rPr>
        <w:t>Units</w:t>
      </w:r>
      <w:proofErr w:type="spellEnd"/>
      <w:r w:rsidRPr="003F222C">
        <w:rPr>
          <w:rFonts w:ascii="Times New Roman" w:hAnsi="Times New Roman" w:cs="Times New Roman"/>
          <w:sz w:val="20"/>
          <w:szCs w:val="20"/>
        </w:rPr>
        <w:t xml:space="preserve"> (DMU por sus siglas en inglés)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509"/>
    <w:multiLevelType w:val="hybridMultilevel"/>
    <w:tmpl w:val="A79A2E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AE443F"/>
    <w:multiLevelType w:val="hybridMultilevel"/>
    <w:tmpl w:val="060433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696005A"/>
    <w:multiLevelType w:val="hybridMultilevel"/>
    <w:tmpl w:val="2D84B0A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1C471F6"/>
    <w:multiLevelType w:val="hybridMultilevel"/>
    <w:tmpl w:val="20FE260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2750107"/>
    <w:multiLevelType w:val="hybridMultilevel"/>
    <w:tmpl w:val="A968A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5305"/>
    <w:rsid w:val="000100A6"/>
    <w:rsid w:val="00010899"/>
    <w:rsid w:val="00015DAB"/>
    <w:rsid w:val="00021BE2"/>
    <w:rsid w:val="000252D2"/>
    <w:rsid w:val="000317FB"/>
    <w:rsid w:val="00046F7F"/>
    <w:rsid w:val="00057120"/>
    <w:rsid w:val="00064D3A"/>
    <w:rsid w:val="00074EB3"/>
    <w:rsid w:val="00076CB8"/>
    <w:rsid w:val="000848FB"/>
    <w:rsid w:val="0009202A"/>
    <w:rsid w:val="000A5B3A"/>
    <w:rsid w:val="000B48A2"/>
    <w:rsid w:val="000B63A9"/>
    <w:rsid w:val="000C2A1F"/>
    <w:rsid w:val="000C5FF5"/>
    <w:rsid w:val="000C7DE4"/>
    <w:rsid w:val="000D01AA"/>
    <w:rsid w:val="000D05F8"/>
    <w:rsid w:val="000D1375"/>
    <w:rsid w:val="000E6D68"/>
    <w:rsid w:val="000E7A61"/>
    <w:rsid w:val="000F3BB5"/>
    <w:rsid w:val="000F7EA9"/>
    <w:rsid w:val="001052C6"/>
    <w:rsid w:val="001072C4"/>
    <w:rsid w:val="0011456A"/>
    <w:rsid w:val="00125BB6"/>
    <w:rsid w:val="00133A12"/>
    <w:rsid w:val="00140CFA"/>
    <w:rsid w:val="00141A8D"/>
    <w:rsid w:val="00145C24"/>
    <w:rsid w:val="00145CB9"/>
    <w:rsid w:val="00151C1F"/>
    <w:rsid w:val="00154B0A"/>
    <w:rsid w:val="00156F2C"/>
    <w:rsid w:val="00171A29"/>
    <w:rsid w:val="001776DB"/>
    <w:rsid w:val="00180C6F"/>
    <w:rsid w:val="00184BA0"/>
    <w:rsid w:val="001A6598"/>
    <w:rsid w:val="001C5B7E"/>
    <w:rsid w:val="001D4048"/>
    <w:rsid w:val="001D6C4A"/>
    <w:rsid w:val="001E4F73"/>
    <w:rsid w:val="00202CBC"/>
    <w:rsid w:val="00215356"/>
    <w:rsid w:val="00217237"/>
    <w:rsid w:val="00220957"/>
    <w:rsid w:val="00220C04"/>
    <w:rsid w:val="002236D2"/>
    <w:rsid w:val="00225058"/>
    <w:rsid w:val="0023473A"/>
    <w:rsid w:val="00234CEB"/>
    <w:rsid w:val="002471D5"/>
    <w:rsid w:val="0025027F"/>
    <w:rsid w:val="0025521F"/>
    <w:rsid w:val="00255633"/>
    <w:rsid w:val="00265E6C"/>
    <w:rsid w:val="0027168B"/>
    <w:rsid w:val="00283BF9"/>
    <w:rsid w:val="00285D9A"/>
    <w:rsid w:val="002871D9"/>
    <w:rsid w:val="00290460"/>
    <w:rsid w:val="00297F2F"/>
    <w:rsid w:val="002A5371"/>
    <w:rsid w:val="002A6545"/>
    <w:rsid w:val="002B71FE"/>
    <w:rsid w:val="002C0461"/>
    <w:rsid w:val="002C6CBA"/>
    <w:rsid w:val="002D3CA9"/>
    <w:rsid w:val="002D786B"/>
    <w:rsid w:val="002D7B16"/>
    <w:rsid w:val="002E47F8"/>
    <w:rsid w:val="002E659E"/>
    <w:rsid w:val="002E7504"/>
    <w:rsid w:val="002F3E9F"/>
    <w:rsid w:val="002F4491"/>
    <w:rsid w:val="002F5B1D"/>
    <w:rsid w:val="002F67E5"/>
    <w:rsid w:val="0030547F"/>
    <w:rsid w:val="00312FAB"/>
    <w:rsid w:val="00316EC7"/>
    <w:rsid w:val="00342545"/>
    <w:rsid w:val="00346623"/>
    <w:rsid w:val="00347DDE"/>
    <w:rsid w:val="00355DF6"/>
    <w:rsid w:val="00356467"/>
    <w:rsid w:val="00364DB0"/>
    <w:rsid w:val="003779EC"/>
    <w:rsid w:val="00393803"/>
    <w:rsid w:val="003C4445"/>
    <w:rsid w:val="003D2712"/>
    <w:rsid w:val="003D3108"/>
    <w:rsid w:val="003D6C3C"/>
    <w:rsid w:val="003E09D7"/>
    <w:rsid w:val="003E4C6E"/>
    <w:rsid w:val="003F222C"/>
    <w:rsid w:val="003F4073"/>
    <w:rsid w:val="003F4B7F"/>
    <w:rsid w:val="003F4D44"/>
    <w:rsid w:val="003F6B7C"/>
    <w:rsid w:val="00442EF5"/>
    <w:rsid w:val="00443A76"/>
    <w:rsid w:val="004535CB"/>
    <w:rsid w:val="00461343"/>
    <w:rsid w:val="00464621"/>
    <w:rsid w:val="00464FB3"/>
    <w:rsid w:val="004650EE"/>
    <w:rsid w:val="004746FD"/>
    <w:rsid w:val="00477697"/>
    <w:rsid w:val="004A29BD"/>
    <w:rsid w:val="004A3A29"/>
    <w:rsid w:val="004B4A0C"/>
    <w:rsid w:val="004B6211"/>
    <w:rsid w:val="004B6858"/>
    <w:rsid w:val="004C3353"/>
    <w:rsid w:val="004C52A4"/>
    <w:rsid w:val="004C7459"/>
    <w:rsid w:val="004C7F7A"/>
    <w:rsid w:val="004D27D0"/>
    <w:rsid w:val="004E231A"/>
    <w:rsid w:val="004E46EC"/>
    <w:rsid w:val="004E57AB"/>
    <w:rsid w:val="004E66B3"/>
    <w:rsid w:val="004F0D72"/>
    <w:rsid w:val="00504F9B"/>
    <w:rsid w:val="005104C2"/>
    <w:rsid w:val="00514D59"/>
    <w:rsid w:val="0053233C"/>
    <w:rsid w:val="00532C9A"/>
    <w:rsid w:val="0053621D"/>
    <w:rsid w:val="00537CFC"/>
    <w:rsid w:val="005533E8"/>
    <w:rsid w:val="00567803"/>
    <w:rsid w:val="005701DE"/>
    <w:rsid w:val="00575D22"/>
    <w:rsid w:val="005817D0"/>
    <w:rsid w:val="00583584"/>
    <w:rsid w:val="00586DBF"/>
    <w:rsid w:val="00590959"/>
    <w:rsid w:val="00594714"/>
    <w:rsid w:val="005A42EA"/>
    <w:rsid w:val="005A5BFE"/>
    <w:rsid w:val="005A7673"/>
    <w:rsid w:val="005B2C7D"/>
    <w:rsid w:val="005D4FD8"/>
    <w:rsid w:val="005E5D8E"/>
    <w:rsid w:val="005F072D"/>
    <w:rsid w:val="00601204"/>
    <w:rsid w:val="006072F3"/>
    <w:rsid w:val="006076AC"/>
    <w:rsid w:val="00611D3F"/>
    <w:rsid w:val="00614184"/>
    <w:rsid w:val="006156F0"/>
    <w:rsid w:val="006220C0"/>
    <w:rsid w:val="00634D59"/>
    <w:rsid w:val="00635F56"/>
    <w:rsid w:val="00637593"/>
    <w:rsid w:val="00646912"/>
    <w:rsid w:val="00662737"/>
    <w:rsid w:val="00671831"/>
    <w:rsid w:val="00673075"/>
    <w:rsid w:val="0067476B"/>
    <w:rsid w:val="00674D75"/>
    <w:rsid w:val="00684FD8"/>
    <w:rsid w:val="00691B66"/>
    <w:rsid w:val="00691E97"/>
    <w:rsid w:val="006A10A1"/>
    <w:rsid w:val="006A4086"/>
    <w:rsid w:val="006A4B2B"/>
    <w:rsid w:val="006B24F5"/>
    <w:rsid w:val="006B386F"/>
    <w:rsid w:val="006B389B"/>
    <w:rsid w:val="006E2643"/>
    <w:rsid w:val="006F0087"/>
    <w:rsid w:val="006F145D"/>
    <w:rsid w:val="006F5978"/>
    <w:rsid w:val="00702162"/>
    <w:rsid w:val="00704CD3"/>
    <w:rsid w:val="00730678"/>
    <w:rsid w:val="00732AB4"/>
    <w:rsid w:val="00734309"/>
    <w:rsid w:val="00740C38"/>
    <w:rsid w:val="0074388D"/>
    <w:rsid w:val="00745305"/>
    <w:rsid w:val="00752735"/>
    <w:rsid w:val="00754789"/>
    <w:rsid w:val="0075545C"/>
    <w:rsid w:val="0076096E"/>
    <w:rsid w:val="00760B0A"/>
    <w:rsid w:val="0078010F"/>
    <w:rsid w:val="007803C2"/>
    <w:rsid w:val="0078188B"/>
    <w:rsid w:val="007929A5"/>
    <w:rsid w:val="00794959"/>
    <w:rsid w:val="0079631E"/>
    <w:rsid w:val="007A0F65"/>
    <w:rsid w:val="007B33E9"/>
    <w:rsid w:val="007D3C18"/>
    <w:rsid w:val="007D6C33"/>
    <w:rsid w:val="007E1D5D"/>
    <w:rsid w:val="007E45FB"/>
    <w:rsid w:val="007E7D7A"/>
    <w:rsid w:val="007F0C39"/>
    <w:rsid w:val="007F3A1F"/>
    <w:rsid w:val="007F6827"/>
    <w:rsid w:val="00805C0F"/>
    <w:rsid w:val="00810930"/>
    <w:rsid w:val="0082186D"/>
    <w:rsid w:val="008453ED"/>
    <w:rsid w:val="0084604B"/>
    <w:rsid w:val="00846517"/>
    <w:rsid w:val="00857752"/>
    <w:rsid w:val="0086227C"/>
    <w:rsid w:val="00895634"/>
    <w:rsid w:val="008A02BC"/>
    <w:rsid w:val="008A20E8"/>
    <w:rsid w:val="008A3328"/>
    <w:rsid w:val="008A359F"/>
    <w:rsid w:val="008A699F"/>
    <w:rsid w:val="008B7878"/>
    <w:rsid w:val="008C2C69"/>
    <w:rsid w:val="008C4242"/>
    <w:rsid w:val="008C7BEC"/>
    <w:rsid w:val="008F23CA"/>
    <w:rsid w:val="008F3FA8"/>
    <w:rsid w:val="008F7503"/>
    <w:rsid w:val="00917914"/>
    <w:rsid w:val="00922628"/>
    <w:rsid w:val="00924681"/>
    <w:rsid w:val="009276E6"/>
    <w:rsid w:val="009277EC"/>
    <w:rsid w:val="00934F60"/>
    <w:rsid w:val="00956ED4"/>
    <w:rsid w:val="009664C7"/>
    <w:rsid w:val="009730B9"/>
    <w:rsid w:val="00981677"/>
    <w:rsid w:val="00984BDE"/>
    <w:rsid w:val="00990429"/>
    <w:rsid w:val="009A0852"/>
    <w:rsid w:val="009A1EA2"/>
    <w:rsid w:val="009B38C7"/>
    <w:rsid w:val="009B51B5"/>
    <w:rsid w:val="009B5790"/>
    <w:rsid w:val="009B67B1"/>
    <w:rsid w:val="009C202E"/>
    <w:rsid w:val="009C3983"/>
    <w:rsid w:val="009C58D4"/>
    <w:rsid w:val="009C5A82"/>
    <w:rsid w:val="009D1046"/>
    <w:rsid w:val="009D1089"/>
    <w:rsid w:val="009E54BA"/>
    <w:rsid w:val="009F2B67"/>
    <w:rsid w:val="009F6459"/>
    <w:rsid w:val="009F7EAD"/>
    <w:rsid w:val="00A01482"/>
    <w:rsid w:val="00A04792"/>
    <w:rsid w:val="00A0556C"/>
    <w:rsid w:val="00A219B8"/>
    <w:rsid w:val="00A22A6F"/>
    <w:rsid w:val="00A26632"/>
    <w:rsid w:val="00A32F11"/>
    <w:rsid w:val="00A41D4F"/>
    <w:rsid w:val="00A558A7"/>
    <w:rsid w:val="00A564B1"/>
    <w:rsid w:val="00A56C88"/>
    <w:rsid w:val="00A6052D"/>
    <w:rsid w:val="00A63421"/>
    <w:rsid w:val="00A6494D"/>
    <w:rsid w:val="00A677E2"/>
    <w:rsid w:val="00A7246C"/>
    <w:rsid w:val="00A833FA"/>
    <w:rsid w:val="00A90174"/>
    <w:rsid w:val="00A97BA1"/>
    <w:rsid w:val="00AB492D"/>
    <w:rsid w:val="00AB5B5D"/>
    <w:rsid w:val="00AC780B"/>
    <w:rsid w:val="00AE04EE"/>
    <w:rsid w:val="00AE7024"/>
    <w:rsid w:val="00AF07F8"/>
    <w:rsid w:val="00AF11D7"/>
    <w:rsid w:val="00AF2C34"/>
    <w:rsid w:val="00AF2DC6"/>
    <w:rsid w:val="00AF4057"/>
    <w:rsid w:val="00B076B6"/>
    <w:rsid w:val="00B10E02"/>
    <w:rsid w:val="00B14362"/>
    <w:rsid w:val="00B258E3"/>
    <w:rsid w:val="00B25B9A"/>
    <w:rsid w:val="00B3414E"/>
    <w:rsid w:val="00B36A97"/>
    <w:rsid w:val="00B40ABC"/>
    <w:rsid w:val="00B42244"/>
    <w:rsid w:val="00B47A95"/>
    <w:rsid w:val="00B5199A"/>
    <w:rsid w:val="00B82E51"/>
    <w:rsid w:val="00BA105F"/>
    <w:rsid w:val="00BA5DCF"/>
    <w:rsid w:val="00BB5BF0"/>
    <w:rsid w:val="00BB67A7"/>
    <w:rsid w:val="00BC2BE9"/>
    <w:rsid w:val="00BD27DE"/>
    <w:rsid w:val="00BD681A"/>
    <w:rsid w:val="00BF530D"/>
    <w:rsid w:val="00C00EB3"/>
    <w:rsid w:val="00C01C1B"/>
    <w:rsid w:val="00C15FED"/>
    <w:rsid w:val="00C17574"/>
    <w:rsid w:val="00C21EC1"/>
    <w:rsid w:val="00C26E21"/>
    <w:rsid w:val="00C30A1E"/>
    <w:rsid w:val="00C32551"/>
    <w:rsid w:val="00C33D26"/>
    <w:rsid w:val="00C359C8"/>
    <w:rsid w:val="00C463FF"/>
    <w:rsid w:val="00C4711E"/>
    <w:rsid w:val="00C476EB"/>
    <w:rsid w:val="00C653C3"/>
    <w:rsid w:val="00C655FB"/>
    <w:rsid w:val="00C70738"/>
    <w:rsid w:val="00C75FFC"/>
    <w:rsid w:val="00C77499"/>
    <w:rsid w:val="00C82931"/>
    <w:rsid w:val="00C84121"/>
    <w:rsid w:val="00C9458C"/>
    <w:rsid w:val="00CA3239"/>
    <w:rsid w:val="00CA609A"/>
    <w:rsid w:val="00CA6D7C"/>
    <w:rsid w:val="00CA6D94"/>
    <w:rsid w:val="00CB1D71"/>
    <w:rsid w:val="00CC2817"/>
    <w:rsid w:val="00CC4851"/>
    <w:rsid w:val="00CD088B"/>
    <w:rsid w:val="00CD0CDD"/>
    <w:rsid w:val="00CD716F"/>
    <w:rsid w:val="00CE5596"/>
    <w:rsid w:val="00CF0B10"/>
    <w:rsid w:val="00CF5568"/>
    <w:rsid w:val="00D1369C"/>
    <w:rsid w:val="00D17932"/>
    <w:rsid w:val="00D22A10"/>
    <w:rsid w:val="00D25C72"/>
    <w:rsid w:val="00D2618D"/>
    <w:rsid w:val="00D31C2A"/>
    <w:rsid w:val="00D34BA3"/>
    <w:rsid w:val="00D36A02"/>
    <w:rsid w:val="00D47E2B"/>
    <w:rsid w:val="00D542BA"/>
    <w:rsid w:val="00D71C0B"/>
    <w:rsid w:val="00D7420C"/>
    <w:rsid w:val="00D82CC5"/>
    <w:rsid w:val="00D91023"/>
    <w:rsid w:val="00D91421"/>
    <w:rsid w:val="00D95EB0"/>
    <w:rsid w:val="00DA4CC5"/>
    <w:rsid w:val="00DA7892"/>
    <w:rsid w:val="00DB5737"/>
    <w:rsid w:val="00DC5610"/>
    <w:rsid w:val="00DD092D"/>
    <w:rsid w:val="00DD54BD"/>
    <w:rsid w:val="00DE2158"/>
    <w:rsid w:val="00DE3968"/>
    <w:rsid w:val="00DF2DD8"/>
    <w:rsid w:val="00E1589A"/>
    <w:rsid w:val="00E16D54"/>
    <w:rsid w:val="00E314FB"/>
    <w:rsid w:val="00E34E4B"/>
    <w:rsid w:val="00E35AEF"/>
    <w:rsid w:val="00E37236"/>
    <w:rsid w:val="00E46E5B"/>
    <w:rsid w:val="00E62D45"/>
    <w:rsid w:val="00E70341"/>
    <w:rsid w:val="00E70371"/>
    <w:rsid w:val="00E710FD"/>
    <w:rsid w:val="00E773F4"/>
    <w:rsid w:val="00E83F62"/>
    <w:rsid w:val="00E868A6"/>
    <w:rsid w:val="00E90C2F"/>
    <w:rsid w:val="00E9245C"/>
    <w:rsid w:val="00EA448A"/>
    <w:rsid w:val="00EA6CA8"/>
    <w:rsid w:val="00EB7E14"/>
    <w:rsid w:val="00ED15A1"/>
    <w:rsid w:val="00ED6779"/>
    <w:rsid w:val="00EF26F0"/>
    <w:rsid w:val="00F03930"/>
    <w:rsid w:val="00F1209C"/>
    <w:rsid w:val="00F13BE1"/>
    <w:rsid w:val="00F32CAC"/>
    <w:rsid w:val="00F548C2"/>
    <w:rsid w:val="00F55702"/>
    <w:rsid w:val="00F57BC3"/>
    <w:rsid w:val="00F616F7"/>
    <w:rsid w:val="00F71470"/>
    <w:rsid w:val="00F71916"/>
    <w:rsid w:val="00F73076"/>
    <w:rsid w:val="00F75609"/>
    <w:rsid w:val="00F81E92"/>
    <w:rsid w:val="00F9404E"/>
    <w:rsid w:val="00FA013B"/>
    <w:rsid w:val="00FA7A0A"/>
    <w:rsid w:val="00FB4BB1"/>
    <w:rsid w:val="00FB4E4E"/>
    <w:rsid w:val="00FB7108"/>
    <w:rsid w:val="00FC471C"/>
    <w:rsid w:val="00FE1D7F"/>
    <w:rsid w:val="00FE73E5"/>
    <w:rsid w:val="00FF66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0A"/>
    <w:rPr>
      <w:rFonts w:ascii="Times New Roman" w:hAnsi="Times New Roman" w:cs="Times New Roman"/>
      <w:lang w:val="es-ES" w:eastAsia="es-ES_tradnl"/>
    </w:rPr>
  </w:style>
  <w:style w:type="paragraph" w:styleId="Ttulo3">
    <w:name w:val="heading 3"/>
    <w:basedOn w:val="Normal"/>
    <w:link w:val="Ttulo3Car"/>
    <w:uiPriority w:val="9"/>
    <w:qFormat/>
    <w:rsid w:val="00DD54BD"/>
    <w:pPr>
      <w:spacing w:before="100" w:beforeAutospacing="1" w:after="100" w:afterAutospacing="1"/>
      <w:outlineLvl w:val="2"/>
    </w:pPr>
    <w:rPr>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219B8"/>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A219B8"/>
  </w:style>
  <w:style w:type="character" w:styleId="Refdenotaalpie">
    <w:name w:val="footnote reference"/>
    <w:basedOn w:val="Fuentedeprrafopredeter"/>
    <w:uiPriority w:val="99"/>
    <w:unhideWhenUsed/>
    <w:rsid w:val="00A219B8"/>
    <w:rPr>
      <w:vertAlign w:val="superscript"/>
    </w:rPr>
  </w:style>
  <w:style w:type="character" w:styleId="Hipervnculo">
    <w:name w:val="Hyperlink"/>
    <w:basedOn w:val="Fuentedeprrafopredeter"/>
    <w:uiPriority w:val="99"/>
    <w:unhideWhenUsed/>
    <w:rsid w:val="00EA448A"/>
    <w:rPr>
      <w:color w:val="0000FF"/>
      <w:u w:val="single"/>
    </w:rPr>
  </w:style>
  <w:style w:type="character" w:customStyle="1" w:styleId="apple-converted-space">
    <w:name w:val="apple-converted-space"/>
    <w:basedOn w:val="Fuentedeprrafopredeter"/>
    <w:rsid w:val="00EA448A"/>
  </w:style>
  <w:style w:type="paragraph" w:styleId="Prrafodelista">
    <w:name w:val="List Paragraph"/>
    <w:basedOn w:val="Normal"/>
    <w:uiPriority w:val="34"/>
    <w:qFormat/>
    <w:rsid w:val="00255633"/>
    <w:pPr>
      <w:ind w:left="720"/>
      <w:contextualSpacing/>
    </w:pPr>
  </w:style>
  <w:style w:type="character" w:customStyle="1" w:styleId="Ttulo3Car">
    <w:name w:val="Título 3 Car"/>
    <w:basedOn w:val="Fuentedeprrafopredeter"/>
    <w:link w:val="Ttulo3"/>
    <w:uiPriority w:val="9"/>
    <w:rsid w:val="00DD54BD"/>
    <w:rPr>
      <w:rFonts w:ascii="Times New Roman" w:hAnsi="Times New Roman" w:cs="Times New Roman"/>
      <w:b/>
      <w:bCs/>
      <w:sz w:val="27"/>
      <w:szCs w:val="27"/>
      <w:lang w:eastAsia="es-ES_tradnl"/>
    </w:rPr>
  </w:style>
  <w:style w:type="paragraph" w:styleId="Encabezado">
    <w:name w:val="header"/>
    <w:basedOn w:val="Normal"/>
    <w:link w:val="EncabezadoCar"/>
    <w:uiPriority w:val="99"/>
    <w:unhideWhenUsed/>
    <w:rsid w:val="00BA5DCF"/>
    <w:pPr>
      <w:tabs>
        <w:tab w:val="center" w:pos="4419"/>
        <w:tab w:val="right" w:pos="8838"/>
      </w:tabs>
    </w:pPr>
  </w:style>
  <w:style w:type="character" w:customStyle="1" w:styleId="EncabezadoCar">
    <w:name w:val="Encabezado Car"/>
    <w:basedOn w:val="Fuentedeprrafopredeter"/>
    <w:link w:val="Encabezado"/>
    <w:uiPriority w:val="99"/>
    <w:rsid w:val="00BA5DCF"/>
    <w:rPr>
      <w:rFonts w:ascii="Times New Roman" w:hAnsi="Times New Roman" w:cs="Times New Roman"/>
      <w:lang w:eastAsia="es-ES_tradnl"/>
    </w:rPr>
  </w:style>
  <w:style w:type="paragraph" w:styleId="Piedepgina">
    <w:name w:val="footer"/>
    <w:basedOn w:val="Normal"/>
    <w:link w:val="PiedepginaCar"/>
    <w:uiPriority w:val="99"/>
    <w:unhideWhenUsed/>
    <w:rsid w:val="00BA5DCF"/>
    <w:pPr>
      <w:tabs>
        <w:tab w:val="center" w:pos="4419"/>
        <w:tab w:val="right" w:pos="8838"/>
      </w:tabs>
    </w:pPr>
  </w:style>
  <w:style w:type="character" w:customStyle="1" w:styleId="PiedepginaCar">
    <w:name w:val="Pie de página Car"/>
    <w:basedOn w:val="Fuentedeprrafopredeter"/>
    <w:link w:val="Piedepgina"/>
    <w:uiPriority w:val="99"/>
    <w:rsid w:val="00BA5DCF"/>
    <w:rPr>
      <w:rFonts w:ascii="Times New Roman" w:hAnsi="Times New Roman" w:cs="Times New Roman"/>
      <w:lang w:eastAsia="es-ES_tradnl"/>
    </w:rPr>
  </w:style>
  <w:style w:type="table" w:styleId="Tablaconcuadrcula">
    <w:name w:val="Table Grid"/>
    <w:basedOn w:val="Tablanormal"/>
    <w:uiPriority w:val="39"/>
    <w:rsid w:val="00021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7F7A"/>
    <w:pPr>
      <w:autoSpaceDE w:val="0"/>
      <w:autoSpaceDN w:val="0"/>
      <w:adjustRightInd w:val="0"/>
    </w:pPr>
    <w:rPr>
      <w:rFonts w:ascii="Cambria" w:eastAsia="Calibri" w:hAnsi="Cambria" w:cs="Cambria"/>
      <w:color w:val="000000"/>
      <w:lang w:val="es-ES" w:eastAsia="es-ES"/>
    </w:rPr>
  </w:style>
  <w:style w:type="paragraph" w:styleId="Textodeglobo">
    <w:name w:val="Balloon Text"/>
    <w:basedOn w:val="Normal"/>
    <w:link w:val="TextodegloboCar"/>
    <w:uiPriority w:val="99"/>
    <w:semiHidden/>
    <w:unhideWhenUsed/>
    <w:rsid w:val="004C7F7A"/>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F7A"/>
    <w:rPr>
      <w:rFonts w:ascii="Tahoma" w:hAnsi="Tahoma" w:cs="Tahoma"/>
      <w:sz w:val="16"/>
      <w:szCs w:val="16"/>
      <w:lang w:val="es-ES" w:eastAsia="es-ES_tradnl"/>
    </w:rPr>
  </w:style>
  <w:style w:type="paragraph" w:styleId="NormalWeb">
    <w:name w:val="Normal (Web)"/>
    <w:basedOn w:val="Normal"/>
    <w:uiPriority w:val="99"/>
    <w:unhideWhenUsed/>
    <w:rsid w:val="00C77499"/>
    <w:pPr>
      <w:spacing w:before="100" w:beforeAutospacing="1" w:after="100" w:afterAutospacing="1"/>
    </w:pPr>
    <w:rPr>
      <w:rFonts w:eastAsia="Times New Roman"/>
      <w:lang w:val="es-CO" w:eastAsia="es-CO"/>
    </w:rPr>
  </w:style>
  <w:style w:type="character" w:styleId="Refdecomentario">
    <w:name w:val="annotation reference"/>
    <w:basedOn w:val="Fuentedeprrafopredeter"/>
    <w:uiPriority w:val="99"/>
    <w:semiHidden/>
    <w:unhideWhenUsed/>
    <w:rsid w:val="002871D9"/>
    <w:rPr>
      <w:sz w:val="16"/>
      <w:szCs w:val="16"/>
    </w:rPr>
  </w:style>
  <w:style w:type="paragraph" w:styleId="Textocomentario">
    <w:name w:val="annotation text"/>
    <w:basedOn w:val="Normal"/>
    <w:link w:val="TextocomentarioCar"/>
    <w:uiPriority w:val="99"/>
    <w:semiHidden/>
    <w:unhideWhenUsed/>
    <w:rsid w:val="002871D9"/>
    <w:rPr>
      <w:sz w:val="20"/>
      <w:szCs w:val="20"/>
    </w:rPr>
  </w:style>
  <w:style w:type="character" w:customStyle="1" w:styleId="TextocomentarioCar">
    <w:name w:val="Texto comentario Car"/>
    <w:basedOn w:val="Fuentedeprrafopredeter"/>
    <w:link w:val="Textocomentario"/>
    <w:uiPriority w:val="99"/>
    <w:semiHidden/>
    <w:rsid w:val="002871D9"/>
    <w:rPr>
      <w:rFonts w:ascii="Times New Roman" w:hAnsi="Times New Roman" w:cs="Times New Roman"/>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2871D9"/>
    <w:rPr>
      <w:b/>
      <w:bCs/>
    </w:rPr>
  </w:style>
  <w:style w:type="character" w:customStyle="1" w:styleId="AsuntodelcomentarioCar">
    <w:name w:val="Asunto del comentario Car"/>
    <w:basedOn w:val="TextocomentarioCar"/>
    <w:link w:val="Asuntodelcomentario"/>
    <w:uiPriority w:val="99"/>
    <w:semiHidden/>
    <w:rsid w:val="002871D9"/>
    <w:rPr>
      <w:rFonts w:ascii="Times New Roman" w:hAnsi="Times New Roman" w:cs="Times New Roman"/>
      <w:b/>
      <w:bCs/>
      <w:sz w:val="20"/>
      <w:szCs w:val="20"/>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438">
      <w:bodyDiv w:val="1"/>
      <w:marLeft w:val="0"/>
      <w:marRight w:val="0"/>
      <w:marTop w:val="0"/>
      <w:marBottom w:val="0"/>
      <w:divBdr>
        <w:top w:val="none" w:sz="0" w:space="0" w:color="auto"/>
        <w:left w:val="none" w:sz="0" w:space="0" w:color="auto"/>
        <w:bottom w:val="none" w:sz="0" w:space="0" w:color="auto"/>
        <w:right w:val="none" w:sz="0" w:space="0" w:color="auto"/>
      </w:divBdr>
    </w:div>
    <w:div w:id="133566488">
      <w:bodyDiv w:val="1"/>
      <w:marLeft w:val="0"/>
      <w:marRight w:val="0"/>
      <w:marTop w:val="0"/>
      <w:marBottom w:val="0"/>
      <w:divBdr>
        <w:top w:val="none" w:sz="0" w:space="0" w:color="auto"/>
        <w:left w:val="none" w:sz="0" w:space="0" w:color="auto"/>
        <w:bottom w:val="none" w:sz="0" w:space="0" w:color="auto"/>
        <w:right w:val="none" w:sz="0" w:space="0" w:color="auto"/>
      </w:divBdr>
    </w:div>
    <w:div w:id="214658521">
      <w:bodyDiv w:val="1"/>
      <w:marLeft w:val="0"/>
      <w:marRight w:val="0"/>
      <w:marTop w:val="0"/>
      <w:marBottom w:val="0"/>
      <w:divBdr>
        <w:top w:val="none" w:sz="0" w:space="0" w:color="auto"/>
        <w:left w:val="none" w:sz="0" w:space="0" w:color="auto"/>
        <w:bottom w:val="none" w:sz="0" w:space="0" w:color="auto"/>
        <w:right w:val="none" w:sz="0" w:space="0" w:color="auto"/>
      </w:divBdr>
    </w:div>
    <w:div w:id="335614060">
      <w:bodyDiv w:val="1"/>
      <w:marLeft w:val="0"/>
      <w:marRight w:val="0"/>
      <w:marTop w:val="0"/>
      <w:marBottom w:val="0"/>
      <w:divBdr>
        <w:top w:val="none" w:sz="0" w:space="0" w:color="auto"/>
        <w:left w:val="none" w:sz="0" w:space="0" w:color="auto"/>
        <w:bottom w:val="none" w:sz="0" w:space="0" w:color="auto"/>
        <w:right w:val="none" w:sz="0" w:space="0" w:color="auto"/>
      </w:divBdr>
    </w:div>
    <w:div w:id="421729941">
      <w:bodyDiv w:val="1"/>
      <w:marLeft w:val="0"/>
      <w:marRight w:val="0"/>
      <w:marTop w:val="0"/>
      <w:marBottom w:val="0"/>
      <w:divBdr>
        <w:top w:val="none" w:sz="0" w:space="0" w:color="auto"/>
        <w:left w:val="none" w:sz="0" w:space="0" w:color="auto"/>
        <w:bottom w:val="none" w:sz="0" w:space="0" w:color="auto"/>
        <w:right w:val="none" w:sz="0" w:space="0" w:color="auto"/>
      </w:divBdr>
    </w:div>
    <w:div w:id="448940292">
      <w:bodyDiv w:val="1"/>
      <w:marLeft w:val="0"/>
      <w:marRight w:val="0"/>
      <w:marTop w:val="0"/>
      <w:marBottom w:val="0"/>
      <w:divBdr>
        <w:top w:val="none" w:sz="0" w:space="0" w:color="auto"/>
        <w:left w:val="none" w:sz="0" w:space="0" w:color="auto"/>
        <w:bottom w:val="none" w:sz="0" w:space="0" w:color="auto"/>
        <w:right w:val="none" w:sz="0" w:space="0" w:color="auto"/>
      </w:divBdr>
    </w:div>
    <w:div w:id="576979521">
      <w:bodyDiv w:val="1"/>
      <w:marLeft w:val="0"/>
      <w:marRight w:val="0"/>
      <w:marTop w:val="0"/>
      <w:marBottom w:val="0"/>
      <w:divBdr>
        <w:top w:val="none" w:sz="0" w:space="0" w:color="auto"/>
        <w:left w:val="none" w:sz="0" w:space="0" w:color="auto"/>
        <w:bottom w:val="none" w:sz="0" w:space="0" w:color="auto"/>
        <w:right w:val="none" w:sz="0" w:space="0" w:color="auto"/>
      </w:divBdr>
    </w:div>
    <w:div w:id="604775680">
      <w:bodyDiv w:val="1"/>
      <w:marLeft w:val="0"/>
      <w:marRight w:val="0"/>
      <w:marTop w:val="0"/>
      <w:marBottom w:val="0"/>
      <w:divBdr>
        <w:top w:val="none" w:sz="0" w:space="0" w:color="auto"/>
        <w:left w:val="none" w:sz="0" w:space="0" w:color="auto"/>
        <w:bottom w:val="none" w:sz="0" w:space="0" w:color="auto"/>
        <w:right w:val="none" w:sz="0" w:space="0" w:color="auto"/>
      </w:divBdr>
      <w:divsChild>
        <w:div w:id="1827478954">
          <w:marLeft w:val="0"/>
          <w:marRight w:val="0"/>
          <w:marTop w:val="0"/>
          <w:marBottom w:val="0"/>
          <w:divBdr>
            <w:top w:val="none" w:sz="0" w:space="0" w:color="auto"/>
            <w:left w:val="none" w:sz="0" w:space="0" w:color="auto"/>
            <w:bottom w:val="none" w:sz="0" w:space="0" w:color="auto"/>
            <w:right w:val="none" w:sz="0" w:space="0" w:color="auto"/>
          </w:divBdr>
          <w:divsChild>
            <w:div w:id="15600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59165">
      <w:bodyDiv w:val="1"/>
      <w:marLeft w:val="0"/>
      <w:marRight w:val="0"/>
      <w:marTop w:val="0"/>
      <w:marBottom w:val="0"/>
      <w:divBdr>
        <w:top w:val="none" w:sz="0" w:space="0" w:color="auto"/>
        <w:left w:val="none" w:sz="0" w:space="0" w:color="auto"/>
        <w:bottom w:val="none" w:sz="0" w:space="0" w:color="auto"/>
        <w:right w:val="none" w:sz="0" w:space="0" w:color="auto"/>
      </w:divBdr>
    </w:div>
    <w:div w:id="743332217">
      <w:bodyDiv w:val="1"/>
      <w:marLeft w:val="0"/>
      <w:marRight w:val="0"/>
      <w:marTop w:val="0"/>
      <w:marBottom w:val="0"/>
      <w:divBdr>
        <w:top w:val="none" w:sz="0" w:space="0" w:color="auto"/>
        <w:left w:val="none" w:sz="0" w:space="0" w:color="auto"/>
        <w:bottom w:val="none" w:sz="0" w:space="0" w:color="auto"/>
        <w:right w:val="none" w:sz="0" w:space="0" w:color="auto"/>
      </w:divBdr>
    </w:div>
    <w:div w:id="847642659">
      <w:bodyDiv w:val="1"/>
      <w:marLeft w:val="0"/>
      <w:marRight w:val="0"/>
      <w:marTop w:val="0"/>
      <w:marBottom w:val="0"/>
      <w:divBdr>
        <w:top w:val="none" w:sz="0" w:space="0" w:color="auto"/>
        <w:left w:val="none" w:sz="0" w:space="0" w:color="auto"/>
        <w:bottom w:val="none" w:sz="0" w:space="0" w:color="auto"/>
        <w:right w:val="none" w:sz="0" w:space="0" w:color="auto"/>
      </w:divBdr>
    </w:div>
    <w:div w:id="880286129">
      <w:bodyDiv w:val="1"/>
      <w:marLeft w:val="0"/>
      <w:marRight w:val="0"/>
      <w:marTop w:val="0"/>
      <w:marBottom w:val="0"/>
      <w:divBdr>
        <w:top w:val="none" w:sz="0" w:space="0" w:color="auto"/>
        <w:left w:val="none" w:sz="0" w:space="0" w:color="auto"/>
        <w:bottom w:val="none" w:sz="0" w:space="0" w:color="auto"/>
        <w:right w:val="none" w:sz="0" w:space="0" w:color="auto"/>
      </w:divBdr>
    </w:div>
    <w:div w:id="952976915">
      <w:bodyDiv w:val="1"/>
      <w:marLeft w:val="0"/>
      <w:marRight w:val="0"/>
      <w:marTop w:val="0"/>
      <w:marBottom w:val="0"/>
      <w:divBdr>
        <w:top w:val="none" w:sz="0" w:space="0" w:color="auto"/>
        <w:left w:val="none" w:sz="0" w:space="0" w:color="auto"/>
        <w:bottom w:val="none" w:sz="0" w:space="0" w:color="auto"/>
        <w:right w:val="none" w:sz="0" w:space="0" w:color="auto"/>
      </w:divBdr>
    </w:div>
    <w:div w:id="1014653337">
      <w:bodyDiv w:val="1"/>
      <w:marLeft w:val="0"/>
      <w:marRight w:val="0"/>
      <w:marTop w:val="0"/>
      <w:marBottom w:val="0"/>
      <w:divBdr>
        <w:top w:val="none" w:sz="0" w:space="0" w:color="auto"/>
        <w:left w:val="none" w:sz="0" w:space="0" w:color="auto"/>
        <w:bottom w:val="none" w:sz="0" w:space="0" w:color="auto"/>
        <w:right w:val="none" w:sz="0" w:space="0" w:color="auto"/>
      </w:divBdr>
    </w:div>
    <w:div w:id="1060053513">
      <w:bodyDiv w:val="1"/>
      <w:marLeft w:val="0"/>
      <w:marRight w:val="0"/>
      <w:marTop w:val="0"/>
      <w:marBottom w:val="0"/>
      <w:divBdr>
        <w:top w:val="none" w:sz="0" w:space="0" w:color="auto"/>
        <w:left w:val="none" w:sz="0" w:space="0" w:color="auto"/>
        <w:bottom w:val="none" w:sz="0" w:space="0" w:color="auto"/>
        <w:right w:val="none" w:sz="0" w:space="0" w:color="auto"/>
      </w:divBdr>
    </w:div>
    <w:div w:id="1400054312">
      <w:bodyDiv w:val="1"/>
      <w:marLeft w:val="0"/>
      <w:marRight w:val="0"/>
      <w:marTop w:val="0"/>
      <w:marBottom w:val="0"/>
      <w:divBdr>
        <w:top w:val="none" w:sz="0" w:space="0" w:color="auto"/>
        <w:left w:val="none" w:sz="0" w:space="0" w:color="auto"/>
        <w:bottom w:val="none" w:sz="0" w:space="0" w:color="auto"/>
        <w:right w:val="none" w:sz="0" w:space="0" w:color="auto"/>
      </w:divBdr>
    </w:div>
    <w:div w:id="1430851563">
      <w:bodyDiv w:val="1"/>
      <w:marLeft w:val="0"/>
      <w:marRight w:val="0"/>
      <w:marTop w:val="0"/>
      <w:marBottom w:val="0"/>
      <w:divBdr>
        <w:top w:val="none" w:sz="0" w:space="0" w:color="auto"/>
        <w:left w:val="none" w:sz="0" w:space="0" w:color="auto"/>
        <w:bottom w:val="none" w:sz="0" w:space="0" w:color="auto"/>
        <w:right w:val="none" w:sz="0" w:space="0" w:color="auto"/>
      </w:divBdr>
    </w:div>
    <w:div w:id="1471289275">
      <w:bodyDiv w:val="1"/>
      <w:marLeft w:val="0"/>
      <w:marRight w:val="0"/>
      <w:marTop w:val="0"/>
      <w:marBottom w:val="0"/>
      <w:divBdr>
        <w:top w:val="none" w:sz="0" w:space="0" w:color="auto"/>
        <w:left w:val="none" w:sz="0" w:space="0" w:color="auto"/>
        <w:bottom w:val="none" w:sz="0" w:space="0" w:color="auto"/>
        <w:right w:val="none" w:sz="0" w:space="0" w:color="auto"/>
      </w:divBdr>
    </w:div>
    <w:div w:id="1575820157">
      <w:bodyDiv w:val="1"/>
      <w:marLeft w:val="0"/>
      <w:marRight w:val="0"/>
      <w:marTop w:val="0"/>
      <w:marBottom w:val="0"/>
      <w:divBdr>
        <w:top w:val="none" w:sz="0" w:space="0" w:color="auto"/>
        <w:left w:val="none" w:sz="0" w:space="0" w:color="auto"/>
        <w:bottom w:val="none" w:sz="0" w:space="0" w:color="auto"/>
        <w:right w:val="none" w:sz="0" w:space="0" w:color="auto"/>
      </w:divBdr>
    </w:div>
    <w:div w:id="1658143178">
      <w:bodyDiv w:val="1"/>
      <w:marLeft w:val="0"/>
      <w:marRight w:val="0"/>
      <w:marTop w:val="0"/>
      <w:marBottom w:val="0"/>
      <w:divBdr>
        <w:top w:val="none" w:sz="0" w:space="0" w:color="auto"/>
        <w:left w:val="none" w:sz="0" w:space="0" w:color="auto"/>
        <w:bottom w:val="none" w:sz="0" w:space="0" w:color="auto"/>
        <w:right w:val="none" w:sz="0" w:space="0" w:color="auto"/>
      </w:divBdr>
    </w:div>
    <w:div w:id="1665163295">
      <w:bodyDiv w:val="1"/>
      <w:marLeft w:val="0"/>
      <w:marRight w:val="0"/>
      <w:marTop w:val="0"/>
      <w:marBottom w:val="0"/>
      <w:divBdr>
        <w:top w:val="none" w:sz="0" w:space="0" w:color="auto"/>
        <w:left w:val="none" w:sz="0" w:space="0" w:color="auto"/>
        <w:bottom w:val="none" w:sz="0" w:space="0" w:color="auto"/>
        <w:right w:val="none" w:sz="0" w:space="0" w:color="auto"/>
      </w:divBdr>
    </w:div>
    <w:div w:id="1754930828">
      <w:bodyDiv w:val="1"/>
      <w:marLeft w:val="0"/>
      <w:marRight w:val="0"/>
      <w:marTop w:val="0"/>
      <w:marBottom w:val="0"/>
      <w:divBdr>
        <w:top w:val="none" w:sz="0" w:space="0" w:color="auto"/>
        <w:left w:val="none" w:sz="0" w:space="0" w:color="auto"/>
        <w:bottom w:val="none" w:sz="0" w:space="0" w:color="auto"/>
        <w:right w:val="none" w:sz="0" w:space="0" w:color="auto"/>
      </w:divBdr>
    </w:div>
    <w:div w:id="1761439522">
      <w:bodyDiv w:val="1"/>
      <w:marLeft w:val="0"/>
      <w:marRight w:val="0"/>
      <w:marTop w:val="0"/>
      <w:marBottom w:val="0"/>
      <w:divBdr>
        <w:top w:val="none" w:sz="0" w:space="0" w:color="auto"/>
        <w:left w:val="none" w:sz="0" w:space="0" w:color="auto"/>
        <w:bottom w:val="none" w:sz="0" w:space="0" w:color="auto"/>
        <w:right w:val="none" w:sz="0" w:space="0" w:color="auto"/>
      </w:divBdr>
    </w:div>
    <w:div w:id="1773738965">
      <w:bodyDiv w:val="1"/>
      <w:marLeft w:val="0"/>
      <w:marRight w:val="0"/>
      <w:marTop w:val="0"/>
      <w:marBottom w:val="0"/>
      <w:divBdr>
        <w:top w:val="none" w:sz="0" w:space="0" w:color="auto"/>
        <w:left w:val="none" w:sz="0" w:space="0" w:color="auto"/>
        <w:bottom w:val="none" w:sz="0" w:space="0" w:color="auto"/>
        <w:right w:val="none" w:sz="0" w:space="0" w:color="auto"/>
      </w:divBdr>
    </w:div>
    <w:div w:id="1828014815">
      <w:bodyDiv w:val="1"/>
      <w:marLeft w:val="0"/>
      <w:marRight w:val="0"/>
      <w:marTop w:val="0"/>
      <w:marBottom w:val="0"/>
      <w:divBdr>
        <w:top w:val="none" w:sz="0" w:space="0" w:color="auto"/>
        <w:left w:val="none" w:sz="0" w:space="0" w:color="auto"/>
        <w:bottom w:val="none" w:sz="0" w:space="0" w:color="auto"/>
        <w:right w:val="none" w:sz="0" w:space="0" w:color="auto"/>
      </w:divBdr>
    </w:div>
    <w:div w:id="1854102165">
      <w:bodyDiv w:val="1"/>
      <w:marLeft w:val="0"/>
      <w:marRight w:val="0"/>
      <w:marTop w:val="0"/>
      <w:marBottom w:val="0"/>
      <w:divBdr>
        <w:top w:val="none" w:sz="0" w:space="0" w:color="auto"/>
        <w:left w:val="none" w:sz="0" w:space="0" w:color="auto"/>
        <w:bottom w:val="none" w:sz="0" w:space="0" w:color="auto"/>
        <w:right w:val="none" w:sz="0" w:space="0" w:color="auto"/>
      </w:divBdr>
    </w:div>
    <w:div w:id="1871801521">
      <w:bodyDiv w:val="1"/>
      <w:marLeft w:val="0"/>
      <w:marRight w:val="0"/>
      <w:marTop w:val="0"/>
      <w:marBottom w:val="0"/>
      <w:divBdr>
        <w:top w:val="none" w:sz="0" w:space="0" w:color="auto"/>
        <w:left w:val="none" w:sz="0" w:space="0" w:color="auto"/>
        <w:bottom w:val="none" w:sz="0" w:space="0" w:color="auto"/>
        <w:right w:val="none" w:sz="0" w:space="0" w:color="auto"/>
      </w:divBdr>
    </w:div>
    <w:div w:id="1880312097">
      <w:bodyDiv w:val="1"/>
      <w:marLeft w:val="0"/>
      <w:marRight w:val="0"/>
      <w:marTop w:val="0"/>
      <w:marBottom w:val="0"/>
      <w:divBdr>
        <w:top w:val="none" w:sz="0" w:space="0" w:color="auto"/>
        <w:left w:val="none" w:sz="0" w:space="0" w:color="auto"/>
        <w:bottom w:val="none" w:sz="0" w:space="0" w:color="auto"/>
        <w:right w:val="none" w:sz="0" w:space="0" w:color="auto"/>
      </w:divBdr>
    </w:div>
    <w:div w:id="2002852584">
      <w:bodyDiv w:val="1"/>
      <w:marLeft w:val="0"/>
      <w:marRight w:val="0"/>
      <w:marTop w:val="0"/>
      <w:marBottom w:val="0"/>
      <w:divBdr>
        <w:top w:val="none" w:sz="0" w:space="0" w:color="auto"/>
        <w:left w:val="none" w:sz="0" w:space="0" w:color="auto"/>
        <w:bottom w:val="none" w:sz="0" w:space="0" w:color="auto"/>
        <w:right w:val="none" w:sz="0" w:space="0" w:color="auto"/>
      </w:divBdr>
    </w:div>
    <w:div w:id="2053382402">
      <w:bodyDiv w:val="1"/>
      <w:marLeft w:val="0"/>
      <w:marRight w:val="0"/>
      <w:marTop w:val="0"/>
      <w:marBottom w:val="0"/>
      <w:divBdr>
        <w:top w:val="none" w:sz="0" w:space="0" w:color="auto"/>
        <w:left w:val="none" w:sz="0" w:space="0" w:color="auto"/>
        <w:bottom w:val="none" w:sz="0" w:space="0" w:color="auto"/>
        <w:right w:val="none" w:sz="0" w:space="0" w:color="auto"/>
      </w:divBdr>
    </w:div>
    <w:div w:id="2126194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lo.org.co/scielo.php?script=sci_arttext&amp;pid=S1657-62762011000100010&amp;lng=en&amp;tl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287/mnsc.30.9.1078" TargetMode="External"/><Relationship Id="rId17" Type="http://schemas.openxmlformats.org/officeDocument/2006/relationships/hyperlink" Target="https://www.superfinanciera.gov.co/jsp/index.jsf" TargetMode="External"/><Relationship Id="rId2" Type="http://schemas.openxmlformats.org/officeDocument/2006/relationships/numbering" Target="numbering.xml"/><Relationship Id="rId16" Type="http://schemas.openxmlformats.org/officeDocument/2006/relationships/hyperlink" Target="https://doi.org/10.4018/978-1-4666-4474-8.ch0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doi.org/10.1016/S1514-0326%2809%2960006-4"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doi.org/10.1007/978-94-011-0637-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2"/>
              </a:solidFill>
              <a:ln w="19050">
                <a:solidFill>
                  <a:schemeClr val="lt1"/>
                </a:solidFill>
              </a:ln>
              <a:effectLst/>
            </c:spPr>
          </c:dPt>
          <c:dPt>
            <c:idx val="2"/>
            <c:invertIfNegative val="0"/>
            <c:bubble3D val="0"/>
            <c:spPr>
              <a:solidFill>
                <a:schemeClr val="accent3"/>
              </a:solidFill>
              <a:ln w="19050">
                <a:solidFill>
                  <a:schemeClr val="lt1"/>
                </a:solidFill>
              </a:ln>
              <a:effectLst/>
            </c:spPr>
          </c:dPt>
          <c:dPt>
            <c:idx val="3"/>
            <c:invertIfNegative val="0"/>
            <c:bubble3D val="0"/>
            <c:spPr>
              <a:solidFill>
                <a:schemeClr val="accent4"/>
              </a:solidFill>
              <a:ln w="19050">
                <a:solidFill>
                  <a:schemeClr val="lt1"/>
                </a:solidFill>
              </a:ln>
              <a:effectLst/>
            </c:spPr>
          </c:dPt>
          <c:dPt>
            <c:idx val="4"/>
            <c:invertIfNegative val="0"/>
            <c:bubble3D val="0"/>
            <c:spPr>
              <a:solidFill>
                <a:schemeClr val="accent5"/>
              </a:solidFill>
              <a:ln w="19050">
                <a:solidFill>
                  <a:schemeClr val="lt1"/>
                </a:solidFill>
              </a:ln>
              <a:effectLst/>
            </c:spPr>
          </c:dPt>
          <c:dPt>
            <c:idx val="5"/>
            <c:invertIfNegative val="0"/>
            <c:bubble3D val="0"/>
            <c:spPr>
              <a:solidFill>
                <a:schemeClr val="accent6"/>
              </a:solidFill>
              <a:ln w="19050">
                <a:solidFill>
                  <a:schemeClr val="lt1"/>
                </a:solidFill>
              </a:ln>
              <a:effectLst/>
            </c:spPr>
          </c:dPt>
          <c:dPt>
            <c:idx val="6"/>
            <c:invertIfNegative val="0"/>
            <c:bubble3D val="0"/>
            <c:spPr>
              <a:solidFill>
                <a:schemeClr val="accent1">
                  <a:lumMod val="60000"/>
                </a:schemeClr>
              </a:solidFill>
              <a:ln w="19050">
                <a:solidFill>
                  <a:schemeClr val="lt1"/>
                </a:solidFill>
              </a:ln>
              <a:effectLst/>
            </c:spPr>
          </c:dPt>
          <c:dPt>
            <c:idx val="7"/>
            <c:invertIfNegative val="0"/>
            <c:bubble3D val="0"/>
            <c:spPr>
              <a:solidFill>
                <a:schemeClr val="accent2">
                  <a:lumMod val="60000"/>
                </a:schemeClr>
              </a:solidFill>
              <a:ln w="19050">
                <a:solidFill>
                  <a:schemeClr val="lt1"/>
                </a:solidFill>
              </a:ln>
              <a:effectLst/>
            </c:spPr>
          </c:dPt>
          <c:dPt>
            <c:idx val="8"/>
            <c:invertIfNegative val="0"/>
            <c:bubble3D val="0"/>
            <c:spPr>
              <a:solidFill>
                <a:schemeClr val="accent3">
                  <a:lumMod val="60000"/>
                </a:schemeClr>
              </a:solidFill>
              <a:ln w="19050">
                <a:solidFill>
                  <a:schemeClr val="lt1"/>
                </a:solidFill>
              </a:ln>
              <a:effectLst/>
            </c:spPr>
          </c:dPt>
          <c:dPt>
            <c:idx val="9"/>
            <c:invertIfNegative val="0"/>
            <c:bubble3D val="0"/>
            <c:spPr>
              <a:solidFill>
                <a:schemeClr val="accent4">
                  <a:lumMod val="60000"/>
                </a:schemeClr>
              </a:solidFill>
              <a:ln w="19050">
                <a:solidFill>
                  <a:schemeClr val="lt1"/>
                </a:solidFill>
              </a:ln>
              <a:effectLst/>
            </c:spPr>
          </c:dPt>
          <c:dPt>
            <c:idx val="10"/>
            <c:invertIfNegative val="0"/>
            <c:bubble3D val="0"/>
            <c:spPr>
              <a:solidFill>
                <a:schemeClr val="accent5">
                  <a:lumMod val="60000"/>
                </a:schemeClr>
              </a:solidFill>
              <a:ln w="19050">
                <a:solidFill>
                  <a:schemeClr val="lt1"/>
                </a:solidFill>
              </a:ln>
              <a:effectLst/>
            </c:spPr>
          </c:dPt>
          <c:dPt>
            <c:idx val="11"/>
            <c:invertIfNegative val="0"/>
            <c:bubble3D val="0"/>
            <c:spPr>
              <a:solidFill>
                <a:schemeClr val="accent6">
                  <a:lumMod val="60000"/>
                </a:schemeClr>
              </a:solidFill>
              <a:ln w="19050">
                <a:solidFill>
                  <a:schemeClr val="lt1"/>
                </a:solidFill>
              </a:ln>
              <a:effectLst/>
            </c:spPr>
          </c:dPt>
          <c:dPt>
            <c:idx val="12"/>
            <c:invertIfNegative val="0"/>
            <c:bubble3D val="0"/>
            <c:spPr>
              <a:solidFill>
                <a:schemeClr val="accent1">
                  <a:lumMod val="80000"/>
                  <a:lumOff val="20000"/>
                </a:schemeClr>
              </a:solidFill>
              <a:ln w="19050">
                <a:solidFill>
                  <a:schemeClr val="lt1"/>
                </a:solidFill>
              </a:ln>
              <a:effectLst/>
            </c:spPr>
          </c:dPt>
          <c:dPt>
            <c:idx val="13"/>
            <c:invertIfNegative val="0"/>
            <c:bubble3D val="0"/>
            <c:spPr>
              <a:solidFill>
                <a:schemeClr val="accent2">
                  <a:lumMod val="80000"/>
                  <a:lumOff val="20000"/>
                </a:schemeClr>
              </a:solidFill>
              <a:ln w="19050">
                <a:solidFill>
                  <a:schemeClr val="lt1"/>
                </a:solidFill>
              </a:ln>
              <a:effectLst/>
            </c:spPr>
          </c:dPt>
          <c:dPt>
            <c:idx val="14"/>
            <c:invertIfNegative val="0"/>
            <c:bubble3D val="0"/>
            <c:spPr>
              <a:solidFill>
                <a:schemeClr val="accent3">
                  <a:lumMod val="80000"/>
                  <a:lumOff val="20000"/>
                </a:schemeClr>
              </a:solidFill>
              <a:ln w="19050">
                <a:solidFill>
                  <a:schemeClr val="lt1"/>
                </a:solidFill>
              </a:ln>
              <a:effectLst/>
            </c:spPr>
          </c:dPt>
          <c:dPt>
            <c:idx val="15"/>
            <c:invertIfNegative val="0"/>
            <c:bubble3D val="0"/>
            <c:spPr>
              <a:solidFill>
                <a:schemeClr val="accent4">
                  <a:lumMod val="80000"/>
                  <a:lumOff val="20000"/>
                </a:schemeClr>
              </a:solidFill>
              <a:ln w="19050">
                <a:solidFill>
                  <a:schemeClr val="lt1"/>
                </a:solidFill>
              </a:ln>
              <a:effectLst/>
            </c:spPr>
          </c:dPt>
          <c:dPt>
            <c:idx val="16"/>
            <c:invertIfNegative val="0"/>
            <c:bubble3D val="0"/>
            <c:spPr>
              <a:solidFill>
                <a:schemeClr val="accent5">
                  <a:lumMod val="80000"/>
                  <a:lumOff val="20000"/>
                </a:schemeClr>
              </a:solidFill>
              <a:ln w="19050">
                <a:solidFill>
                  <a:schemeClr val="lt1"/>
                </a:solidFill>
              </a:ln>
              <a:effectLst/>
            </c:spPr>
          </c:dPt>
          <c:cat>
            <c:strRef>
              <c:f>Hoja1!$B$3:$B$19</c:f>
              <c:strCache>
                <c:ptCount val="17"/>
                <c:pt idx="0">
                  <c:v>G</c:v>
                </c:pt>
                <c:pt idx="1">
                  <c:v>C</c:v>
                </c:pt>
                <c:pt idx="2">
                  <c:v>F</c:v>
                </c:pt>
                <c:pt idx="3">
                  <c:v>M</c:v>
                </c:pt>
                <c:pt idx="4">
                  <c:v>B</c:v>
                </c:pt>
                <c:pt idx="5">
                  <c:v>J</c:v>
                </c:pt>
                <c:pt idx="6">
                  <c:v>N</c:v>
                </c:pt>
                <c:pt idx="7">
                  <c:v>A</c:v>
                </c:pt>
                <c:pt idx="8">
                  <c:v>K</c:v>
                </c:pt>
                <c:pt idx="9">
                  <c:v>L</c:v>
                </c:pt>
                <c:pt idx="10">
                  <c:v>H</c:v>
                </c:pt>
                <c:pt idx="11">
                  <c:v>R</c:v>
                </c:pt>
                <c:pt idx="12">
                  <c:v>I</c:v>
                </c:pt>
                <c:pt idx="13">
                  <c:v>S</c:v>
                </c:pt>
                <c:pt idx="14">
                  <c:v>D</c:v>
                </c:pt>
                <c:pt idx="15">
                  <c:v>Q</c:v>
                </c:pt>
                <c:pt idx="16">
                  <c:v>P</c:v>
                </c:pt>
              </c:strCache>
            </c:strRef>
          </c:cat>
          <c:val>
            <c:numRef>
              <c:f>Hoja1!$C$3:$C$19</c:f>
              <c:numCache>
                <c:formatCode>General</c:formatCode>
                <c:ptCount val="17"/>
                <c:pt idx="0">
                  <c:v>268</c:v>
                </c:pt>
                <c:pt idx="1">
                  <c:v>76</c:v>
                </c:pt>
                <c:pt idx="2">
                  <c:v>46</c:v>
                </c:pt>
                <c:pt idx="3">
                  <c:v>44</c:v>
                </c:pt>
                <c:pt idx="4">
                  <c:v>39</c:v>
                </c:pt>
                <c:pt idx="5">
                  <c:v>38</c:v>
                </c:pt>
                <c:pt idx="6">
                  <c:v>32</c:v>
                </c:pt>
                <c:pt idx="7">
                  <c:v>27</c:v>
                </c:pt>
                <c:pt idx="8">
                  <c:v>26</c:v>
                </c:pt>
                <c:pt idx="9">
                  <c:v>23</c:v>
                </c:pt>
                <c:pt idx="10">
                  <c:v>19</c:v>
                </c:pt>
                <c:pt idx="11">
                  <c:v>7</c:v>
                </c:pt>
                <c:pt idx="12">
                  <c:v>6</c:v>
                </c:pt>
                <c:pt idx="13">
                  <c:v>4</c:v>
                </c:pt>
                <c:pt idx="14">
                  <c:v>2</c:v>
                </c:pt>
                <c:pt idx="15">
                  <c:v>2</c:v>
                </c:pt>
                <c:pt idx="16">
                  <c:v>1</c:v>
                </c:pt>
              </c:numCache>
            </c:numRef>
          </c:val>
        </c:ser>
        <c:dLbls>
          <c:showLegendKey val="0"/>
          <c:showVal val="0"/>
          <c:showCatName val="0"/>
          <c:showSerName val="0"/>
          <c:showPercent val="0"/>
          <c:showBubbleSize val="0"/>
        </c:dLbls>
        <c:gapWidth val="100"/>
        <c:axId val="237390848"/>
        <c:axId val="237483904"/>
      </c:barChart>
      <c:catAx>
        <c:axId val="237390848"/>
        <c:scaling>
          <c:orientation val="minMax"/>
        </c:scaling>
        <c:delete val="0"/>
        <c:axPos val="b"/>
        <c:majorTickMark val="out"/>
        <c:minorTickMark val="none"/>
        <c:tickLblPos val="nextTo"/>
        <c:crossAx val="237483904"/>
        <c:crosses val="autoZero"/>
        <c:auto val="1"/>
        <c:lblAlgn val="ctr"/>
        <c:lblOffset val="100"/>
        <c:noMultiLvlLbl val="0"/>
      </c:catAx>
      <c:valAx>
        <c:axId val="237483904"/>
        <c:scaling>
          <c:orientation val="minMax"/>
        </c:scaling>
        <c:delete val="0"/>
        <c:axPos val="l"/>
        <c:majorGridlines/>
        <c:numFmt formatCode="General" sourceLinked="1"/>
        <c:majorTickMark val="out"/>
        <c:minorTickMark val="none"/>
        <c:tickLblPos val="nextTo"/>
        <c:crossAx val="23739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2C5D1C-4D4E-455F-8063-080DB502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7</Pages>
  <Words>2071</Words>
  <Characters>11396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SARMIENTO</dc:creator>
  <cp:lastModifiedBy>tuptc</cp:lastModifiedBy>
  <cp:revision>71</cp:revision>
  <dcterms:created xsi:type="dcterms:W3CDTF">2017-04-24T15:02:00Z</dcterms:created>
  <dcterms:modified xsi:type="dcterms:W3CDTF">2017-09-19T21:54:00Z</dcterms:modified>
</cp:coreProperties>
</file>